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297E4" w14:textId="51A0194D" w:rsidR="0056179C" w:rsidRPr="004B0DA6" w:rsidRDefault="007E74D5" w:rsidP="004375E1">
      <w:pPr>
        <w:spacing w:line="240" w:lineRule="auto"/>
        <w:contextualSpacing/>
        <w:jc w:val="center"/>
        <w:rPr>
          <w:rFonts w:ascii="Times New Roman" w:hAnsi="Times New Roman" w:cs="Times New Roman"/>
          <w:sz w:val="32"/>
          <w:szCs w:val="32"/>
        </w:rPr>
      </w:pPr>
      <w:r w:rsidRPr="004B0DA6">
        <w:rPr>
          <w:rFonts w:ascii="Times New Roman" w:hAnsi="Times New Roman" w:cs="Times New Roman"/>
          <w:sz w:val="32"/>
          <w:szCs w:val="32"/>
        </w:rPr>
        <w:t xml:space="preserve">       </w:t>
      </w:r>
    </w:p>
    <w:p w14:paraId="588C8D25" w14:textId="230FBC8E" w:rsidR="008D0322" w:rsidRPr="004B0DA6" w:rsidRDefault="008D0322" w:rsidP="004375E1">
      <w:pPr>
        <w:spacing w:line="240" w:lineRule="auto"/>
        <w:contextualSpacing/>
        <w:jc w:val="center"/>
        <w:rPr>
          <w:rFonts w:ascii="Times New Roman" w:hAnsi="Times New Roman" w:cs="Times New Roman"/>
          <w:sz w:val="32"/>
          <w:szCs w:val="32"/>
        </w:rPr>
      </w:pPr>
    </w:p>
    <w:p w14:paraId="2DC14D95" w14:textId="6BCA173B" w:rsidR="008D0322" w:rsidRPr="004B0DA6" w:rsidRDefault="008D0322" w:rsidP="004375E1">
      <w:pPr>
        <w:spacing w:line="240" w:lineRule="auto"/>
        <w:contextualSpacing/>
        <w:jc w:val="center"/>
        <w:rPr>
          <w:rFonts w:ascii="Times New Roman" w:hAnsi="Times New Roman" w:cs="Times New Roman"/>
          <w:sz w:val="32"/>
          <w:szCs w:val="32"/>
        </w:rPr>
      </w:pPr>
    </w:p>
    <w:p w14:paraId="42EA24ED" w14:textId="2B97608E" w:rsidR="008D0322" w:rsidRPr="004B0DA6" w:rsidRDefault="008D0322" w:rsidP="004375E1">
      <w:pPr>
        <w:spacing w:line="240" w:lineRule="auto"/>
        <w:contextualSpacing/>
        <w:jc w:val="center"/>
        <w:rPr>
          <w:rFonts w:ascii="Times New Roman" w:hAnsi="Times New Roman" w:cs="Times New Roman"/>
          <w:sz w:val="32"/>
          <w:szCs w:val="32"/>
        </w:rPr>
      </w:pPr>
    </w:p>
    <w:p w14:paraId="695FF3DC" w14:textId="211B3BAE" w:rsidR="008D0322" w:rsidRPr="004B0DA6" w:rsidRDefault="008D0322" w:rsidP="004375E1">
      <w:pPr>
        <w:spacing w:line="240" w:lineRule="auto"/>
        <w:contextualSpacing/>
        <w:jc w:val="center"/>
        <w:rPr>
          <w:rFonts w:ascii="Times New Roman" w:hAnsi="Times New Roman" w:cs="Times New Roman"/>
          <w:sz w:val="32"/>
          <w:szCs w:val="32"/>
        </w:rPr>
      </w:pPr>
    </w:p>
    <w:p w14:paraId="411BBE9C" w14:textId="693B6A9D" w:rsidR="0056179C" w:rsidRPr="004B0DA6" w:rsidRDefault="0056179C" w:rsidP="0056179C">
      <w:pPr>
        <w:spacing w:line="240" w:lineRule="auto"/>
        <w:contextualSpacing/>
        <w:jc w:val="center"/>
        <w:rPr>
          <w:rFonts w:ascii="Times New Roman" w:hAnsi="Times New Roman" w:cs="Times New Roman"/>
          <w:sz w:val="32"/>
          <w:szCs w:val="32"/>
        </w:rPr>
      </w:pPr>
      <w:r w:rsidRPr="004B0DA6">
        <w:rPr>
          <w:rFonts w:ascii="Times New Roman" w:hAnsi="Times New Roman" w:cs="Times New Roman"/>
          <w:sz w:val="32"/>
          <w:szCs w:val="32"/>
        </w:rPr>
        <w:t>Notes to the Financial Statements</w:t>
      </w:r>
    </w:p>
    <w:p w14:paraId="0ED94AEA" w14:textId="039A91E7" w:rsidR="0056179C" w:rsidRPr="004B0DA6" w:rsidRDefault="0056179C" w:rsidP="004375E1">
      <w:pPr>
        <w:spacing w:line="240" w:lineRule="auto"/>
        <w:contextualSpacing/>
        <w:jc w:val="center"/>
        <w:rPr>
          <w:rFonts w:ascii="Times New Roman" w:hAnsi="Times New Roman" w:cs="Times New Roman"/>
          <w:sz w:val="32"/>
          <w:szCs w:val="32"/>
        </w:rPr>
      </w:pPr>
    </w:p>
    <w:p w14:paraId="5BDC0729" w14:textId="230B8B3C" w:rsidR="0056179C" w:rsidRPr="004B0DA6" w:rsidRDefault="0056179C" w:rsidP="004375E1">
      <w:pPr>
        <w:spacing w:line="240" w:lineRule="auto"/>
        <w:contextualSpacing/>
        <w:jc w:val="center"/>
        <w:rPr>
          <w:rFonts w:ascii="Times New Roman" w:hAnsi="Times New Roman" w:cs="Times New Roman"/>
          <w:sz w:val="32"/>
          <w:szCs w:val="32"/>
        </w:rPr>
      </w:pPr>
    </w:p>
    <w:p w14:paraId="0CE94063" w14:textId="54EB8191" w:rsidR="0056179C" w:rsidRPr="004B0DA6" w:rsidRDefault="0056179C" w:rsidP="004375E1">
      <w:pPr>
        <w:spacing w:line="240" w:lineRule="auto"/>
        <w:contextualSpacing/>
        <w:jc w:val="center"/>
        <w:rPr>
          <w:rFonts w:ascii="Times New Roman" w:hAnsi="Times New Roman" w:cs="Times New Roman"/>
          <w:sz w:val="32"/>
          <w:szCs w:val="32"/>
        </w:rPr>
      </w:pPr>
    </w:p>
    <w:p w14:paraId="20EC1054" w14:textId="1B3B3891" w:rsidR="0056179C" w:rsidRPr="004B0DA6" w:rsidRDefault="0056179C" w:rsidP="004375E1">
      <w:pPr>
        <w:spacing w:line="240" w:lineRule="auto"/>
        <w:contextualSpacing/>
        <w:jc w:val="center"/>
        <w:rPr>
          <w:rFonts w:ascii="Times New Roman" w:hAnsi="Times New Roman" w:cs="Times New Roman"/>
          <w:sz w:val="32"/>
          <w:szCs w:val="32"/>
        </w:rPr>
      </w:pPr>
    </w:p>
    <w:p w14:paraId="49F5C22E" w14:textId="74273EB1" w:rsidR="0056179C" w:rsidRPr="004B0DA6" w:rsidRDefault="0056179C" w:rsidP="004375E1">
      <w:pPr>
        <w:spacing w:line="240" w:lineRule="auto"/>
        <w:contextualSpacing/>
        <w:jc w:val="center"/>
        <w:rPr>
          <w:rFonts w:ascii="Times New Roman" w:hAnsi="Times New Roman" w:cs="Times New Roman"/>
          <w:sz w:val="32"/>
          <w:szCs w:val="32"/>
        </w:rPr>
      </w:pPr>
    </w:p>
    <w:p w14:paraId="209D004B" w14:textId="4220F79E" w:rsidR="0056179C" w:rsidRPr="004B0DA6" w:rsidRDefault="0056179C" w:rsidP="004375E1">
      <w:pPr>
        <w:spacing w:line="240" w:lineRule="auto"/>
        <w:contextualSpacing/>
        <w:jc w:val="center"/>
        <w:rPr>
          <w:rFonts w:ascii="Times New Roman" w:hAnsi="Times New Roman" w:cs="Times New Roman"/>
          <w:sz w:val="32"/>
          <w:szCs w:val="32"/>
        </w:rPr>
      </w:pPr>
    </w:p>
    <w:p w14:paraId="05C82EFC" w14:textId="6BBF3111" w:rsidR="0056179C" w:rsidRPr="004B0DA6" w:rsidRDefault="0056179C" w:rsidP="004375E1">
      <w:pPr>
        <w:spacing w:line="240" w:lineRule="auto"/>
        <w:contextualSpacing/>
        <w:jc w:val="center"/>
        <w:rPr>
          <w:rFonts w:ascii="Times New Roman" w:hAnsi="Times New Roman" w:cs="Times New Roman"/>
          <w:sz w:val="32"/>
          <w:szCs w:val="32"/>
        </w:rPr>
      </w:pPr>
    </w:p>
    <w:p w14:paraId="20CA49DF" w14:textId="0B80AAAF" w:rsidR="0056179C" w:rsidRPr="004B0DA6" w:rsidRDefault="0056179C" w:rsidP="004375E1">
      <w:pPr>
        <w:spacing w:line="240" w:lineRule="auto"/>
        <w:contextualSpacing/>
        <w:jc w:val="center"/>
        <w:rPr>
          <w:rFonts w:ascii="Times New Roman" w:hAnsi="Times New Roman" w:cs="Times New Roman"/>
          <w:sz w:val="32"/>
          <w:szCs w:val="32"/>
        </w:rPr>
      </w:pPr>
    </w:p>
    <w:p w14:paraId="6220B7AA" w14:textId="1C32E886" w:rsidR="0056179C" w:rsidRPr="004B0DA6" w:rsidRDefault="0056179C" w:rsidP="004375E1">
      <w:pPr>
        <w:spacing w:line="240" w:lineRule="auto"/>
        <w:contextualSpacing/>
        <w:jc w:val="center"/>
        <w:rPr>
          <w:rFonts w:ascii="Times New Roman" w:hAnsi="Times New Roman" w:cs="Times New Roman"/>
          <w:sz w:val="32"/>
          <w:szCs w:val="32"/>
        </w:rPr>
      </w:pPr>
    </w:p>
    <w:p w14:paraId="680F2881" w14:textId="2891D62D" w:rsidR="0056179C" w:rsidRPr="004B0DA6" w:rsidRDefault="0056179C" w:rsidP="004375E1">
      <w:pPr>
        <w:spacing w:line="240" w:lineRule="auto"/>
        <w:contextualSpacing/>
        <w:jc w:val="center"/>
        <w:rPr>
          <w:rFonts w:ascii="Times New Roman" w:hAnsi="Times New Roman" w:cs="Times New Roman"/>
          <w:sz w:val="32"/>
          <w:szCs w:val="32"/>
        </w:rPr>
      </w:pPr>
    </w:p>
    <w:p w14:paraId="503F6544" w14:textId="5E0C04DD" w:rsidR="00144B71" w:rsidRPr="004B0DA6" w:rsidRDefault="00144B71" w:rsidP="00144B71">
      <w:pPr>
        <w:spacing w:line="240" w:lineRule="auto"/>
        <w:contextualSpacing/>
        <w:rPr>
          <w:rFonts w:ascii="Times New Roman" w:hAnsi="Times New Roman" w:cs="Times New Roman"/>
          <w:sz w:val="32"/>
          <w:szCs w:val="32"/>
        </w:rPr>
      </w:pPr>
    </w:p>
    <w:p w14:paraId="6752025A" w14:textId="50311A80" w:rsidR="0056179C" w:rsidRPr="004B0DA6" w:rsidRDefault="0056179C" w:rsidP="004375E1">
      <w:pPr>
        <w:spacing w:line="240" w:lineRule="auto"/>
        <w:contextualSpacing/>
        <w:jc w:val="center"/>
        <w:rPr>
          <w:rFonts w:ascii="Times New Roman" w:hAnsi="Times New Roman" w:cs="Times New Roman"/>
          <w:sz w:val="32"/>
          <w:szCs w:val="32"/>
        </w:rPr>
      </w:pPr>
    </w:p>
    <w:p w14:paraId="06D2783F" w14:textId="535BB0E6" w:rsidR="0056179C" w:rsidRPr="004B0DA6" w:rsidRDefault="0056179C" w:rsidP="004375E1">
      <w:pPr>
        <w:spacing w:line="240" w:lineRule="auto"/>
        <w:contextualSpacing/>
        <w:jc w:val="center"/>
        <w:rPr>
          <w:rFonts w:ascii="Times New Roman" w:hAnsi="Times New Roman" w:cs="Times New Roman"/>
          <w:sz w:val="32"/>
          <w:szCs w:val="32"/>
        </w:rPr>
      </w:pPr>
    </w:p>
    <w:p w14:paraId="7F9E413E" w14:textId="7539D19E" w:rsidR="0056179C" w:rsidRPr="004B0DA6" w:rsidRDefault="0056179C" w:rsidP="004375E1">
      <w:pPr>
        <w:spacing w:line="240" w:lineRule="auto"/>
        <w:contextualSpacing/>
        <w:jc w:val="center"/>
        <w:rPr>
          <w:rFonts w:ascii="Times New Roman" w:hAnsi="Times New Roman" w:cs="Times New Roman"/>
          <w:sz w:val="32"/>
          <w:szCs w:val="32"/>
        </w:rPr>
      </w:pPr>
    </w:p>
    <w:p w14:paraId="462BA265" w14:textId="1301CA3F" w:rsidR="0056179C" w:rsidRPr="004B0DA6" w:rsidRDefault="0056179C" w:rsidP="004375E1">
      <w:pPr>
        <w:spacing w:line="240" w:lineRule="auto"/>
        <w:contextualSpacing/>
        <w:jc w:val="center"/>
        <w:rPr>
          <w:rFonts w:ascii="Times New Roman" w:hAnsi="Times New Roman" w:cs="Times New Roman"/>
          <w:sz w:val="32"/>
          <w:szCs w:val="32"/>
        </w:rPr>
      </w:pPr>
    </w:p>
    <w:p w14:paraId="46B8864A" w14:textId="30048F96" w:rsidR="0056179C" w:rsidRPr="004B0DA6" w:rsidRDefault="0056179C" w:rsidP="004375E1">
      <w:pPr>
        <w:spacing w:line="240" w:lineRule="auto"/>
        <w:contextualSpacing/>
        <w:jc w:val="center"/>
        <w:rPr>
          <w:rFonts w:ascii="Times New Roman" w:hAnsi="Times New Roman" w:cs="Times New Roman"/>
          <w:sz w:val="32"/>
          <w:szCs w:val="32"/>
        </w:rPr>
      </w:pPr>
    </w:p>
    <w:p w14:paraId="3A054B01" w14:textId="781B3336" w:rsidR="0056179C" w:rsidRPr="004B0DA6" w:rsidRDefault="0056179C" w:rsidP="004375E1">
      <w:pPr>
        <w:spacing w:line="240" w:lineRule="auto"/>
        <w:contextualSpacing/>
        <w:jc w:val="center"/>
        <w:rPr>
          <w:rFonts w:ascii="Times New Roman" w:hAnsi="Times New Roman" w:cs="Times New Roman"/>
          <w:sz w:val="32"/>
          <w:szCs w:val="32"/>
        </w:rPr>
      </w:pPr>
    </w:p>
    <w:p w14:paraId="46889441" w14:textId="00AC625A" w:rsidR="0056179C" w:rsidRPr="004B0DA6" w:rsidRDefault="0056179C" w:rsidP="004375E1">
      <w:pPr>
        <w:spacing w:line="240" w:lineRule="auto"/>
        <w:contextualSpacing/>
        <w:jc w:val="center"/>
        <w:rPr>
          <w:rFonts w:ascii="Times New Roman" w:hAnsi="Times New Roman" w:cs="Times New Roman"/>
          <w:sz w:val="32"/>
          <w:szCs w:val="32"/>
        </w:rPr>
      </w:pPr>
    </w:p>
    <w:p w14:paraId="7045B6E9" w14:textId="3D870CE5" w:rsidR="0056179C" w:rsidRPr="004B0DA6" w:rsidRDefault="0056179C" w:rsidP="004375E1">
      <w:pPr>
        <w:spacing w:line="240" w:lineRule="auto"/>
        <w:contextualSpacing/>
        <w:jc w:val="center"/>
        <w:rPr>
          <w:rFonts w:ascii="Times New Roman" w:hAnsi="Times New Roman" w:cs="Times New Roman"/>
          <w:sz w:val="32"/>
          <w:szCs w:val="32"/>
        </w:rPr>
      </w:pPr>
    </w:p>
    <w:p w14:paraId="01068323" w14:textId="71E1964D" w:rsidR="0056179C" w:rsidRPr="004B0DA6" w:rsidRDefault="0056179C" w:rsidP="004375E1">
      <w:pPr>
        <w:spacing w:line="240" w:lineRule="auto"/>
        <w:contextualSpacing/>
        <w:jc w:val="center"/>
        <w:rPr>
          <w:rFonts w:ascii="Times New Roman" w:hAnsi="Times New Roman" w:cs="Times New Roman"/>
          <w:sz w:val="32"/>
          <w:szCs w:val="32"/>
        </w:rPr>
      </w:pPr>
    </w:p>
    <w:p w14:paraId="764FF7D7" w14:textId="74E3DFD3" w:rsidR="0056179C" w:rsidRPr="004B0DA6" w:rsidRDefault="0056179C" w:rsidP="004375E1">
      <w:pPr>
        <w:spacing w:line="240" w:lineRule="auto"/>
        <w:contextualSpacing/>
        <w:jc w:val="center"/>
        <w:rPr>
          <w:rFonts w:ascii="Times New Roman" w:hAnsi="Times New Roman" w:cs="Times New Roman"/>
          <w:sz w:val="32"/>
          <w:szCs w:val="32"/>
        </w:rPr>
      </w:pPr>
    </w:p>
    <w:p w14:paraId="650E9112" w14:textId="7AE03D45" w:rsidR="0056179C" w:rsidRPr="004B0DA6" w:rsidRDefault="0056179C" w:rsidP="004375E1">
      <w:pPr>
        <w:spacing w:line="240" w:lineRule="auto"/>
        <w:contextualSpacing/>
        <w:jc w:val="center"/>
        <w:rPr>
          <w:rFonts w:ascii="Times New Roman" w:hAnsi="Times New Roman" w:cs="Times New Roman"/>
          <w:sz w:val="32"/>
          <w:szCs w:val="32"/>
        </w:rPr>
      </w:pPr>
    </w:p>
    <w:p w14:paraId="079B8930" w14:textId="74EAB97F" w:rsidR="0056179C" w:rsidRPr="004B0DA6" w:rsidRDefault="0056179C" w:rsidP="004375E1">
      <w:pPr>
        <w:spacing w:line="240" w:lineRule="auto"/>
        <w:contextualSpacing/>
        <w:jc w:val="center"/>
        <w:rPr>
          <w:rFonts w:ascii="Times New Roman" w:hAnsi="Times New Roman" w:cs="Times New Roman"/>
          <w:sz w:val="32"/>
          <w:szCs w:val="32"/>
        </w:rPr>
      </w:pPr>
    </w:p>
    <w:p w14:paraId="6BDB2CC7" w14:textId="5251C102" w:rsidR="0056179C" w:rsidRPr="004B0DA6" w:rsidRDefault="0056179C" w:rsidP="004375E1">
      <w:pPr>
        <w:spacing w:line="240" w:lineRule="auto"/>
        <w:contextualSpacing/>
        <w:jc w:val="center"/>
        <w:rPr>
          <w:rFonts w:ascii="Times New Roman" w:hAnsi="Times New Roman" w:cs="Times New Roman"/>
          <w:sz w:val="32"/>
          <w:szCs w:val="32"/>
        </w:rPr>
      </w:pPr>
    </w:p>
    <w:p w14:paraId="2566472A" w14:textId="5FC4DD23" w:rsidR="0056179C" w:rsidRPr="004B0DA6" w:rsidRDefault="0056179C" w:rsidP="004375E1">
      <w:pPr>
        <w:spacing w:line="240" w:lineRule="auto"/>
        <w:contextualSpacing/>
        <w:jc w:val="center"/>
        <w:rPr>
          <w:rFonts w:ascii="Times New Roman" w:hAnsi="Times New Roman" w:cs="Times New Roman"/>
          <w:sz w:val="32"/>
          <w:szCs w:val="32"/>
        </w:rPr>
      </w:pPr>
    </w:p>
    <w:p w14:paraId="1E64817A" w14:textId="10C7DF2B" w:rsidR="0056179C" w:rsidRPr="004B0DA6" w:rsidRDefault="0056179C" w:rsidP="004375E1">
      <w:pPr>
        <w:spacing w:line="240" w:lineRule="auto"/>
        <w:contextualSpacing/>
        <w:jc w:val="center"/>
        <w:rPr>
          <w:rFonts w:ascii="Times New Roman" w:hAnsi="Times New Roman" w:cs="Times New Roman"/>
          <w:sz w:val="32"/>
          <w:szCs w:val="32"/>
        </w:rPr>
      </w:pPr>
    </w:p>
    <w:p w14:paraId="5EC930C9" w14:textId="676189C0" w:rsidR="0056179C" w:rsidRPr="004B0DA6" w:rsidRDefault="0056179C" w:rsidP="004375E1">
      <w:pPr>
        <w:spacing w:line="240" w:lineRule="auto"/>
        <w:contextualSpacing/>
        <w:jc w:val="center"/>
        <w:rPr>
          <w:rFonts w:ascii="Times New Roman" w:hAnsi="Times New Roman" w:cs="Times New Roman"/>
          <w:sz w:val="32"/>
          <w:szCs w:val="32"/>
        </w:rPr>
      </w:pPr>
    </w:p>
    <w:p w14:paraId="2D110E75" w14:textId="77777777" w:rsidR="00D8702A" w:rsidRPr="004B0DA6" w:rsidRDefault="00D8702A">
      <w:pPr>
        <w:rPr>
          <w:rFonts w:ascii="Times New Roman" w:hAnsi="Times New Roman" w:cs="Times New Roman"/>
          <w:b/>
          <w:sz w:val="24"/>
        </w:rPr>
      </w:pPr>
      <w:r w:rsidRPr="004B0DA6">
        <w:rPr>
          <w:rFonts w:ascii="Times New Roman" w:hAnsi="Times New Roman" w:cs="Times New Roman"/>
          <w:b/>
          <w:sz w:val="24"/>
        </w:rPr>
        <w:br w:type="page"/>
      </w:r>
    </w:p>
    <w:p w14:paraId="27F8F89F" w14:textId="62713BD4" w:rsidR="0056179C" w:rsidRPr="004B0DA6" w:rsidRDefault="0056179C" w:rsidP="0056179C">
      <w:pPr>
        <w:jc w:val="center"/>
        <w:rPr>
          <w:rFonts w:ascii="Times New Roman" w:hAnsi="Times New Roman" w:cs="Times New Roman"/>
          <w:sz w:val="24"/>
        </w:rPr>
      </w:pPr>
      <w:r w:rsidRPr="004B0DA6">
        <w:rPr>
          <w:rFonts w:ascii="Times New Roman" w:hAnsi="Times New Roman" w:cs="Times New Roman"/>
          <w:b/>
          <w:sz w:val="24"/>
        </w:rPr>
        <w:lastRenderedPageBreak/>
        <w:t>City of Dogwood, North Carolina</w:t>
      </w:r>
    </w:p>
    <w:p w14:paraId="1F421E74" w14:textId="124F35E4" w:rsidR="0056179C" w:rsidRPr="004B0DA6" w:rsidRDefault="0056179C" w:rsidP="0056179C">
      <w:pPr>
        <w:jc w:val="center"/>
        <w:rPr>
          <w:rFonts w:ascii="Times New Roman" w:hAnsi="Times New Roman" w:cs="Times New Roman"/>
          <w:b/>
          <w:sz w:val="24"/>
        </w:rPr>
      </w:pPr>
      <w:r w:rsidRPr="004B0DA6">
        <w:rPr>
          <w:rFonts w:ascii="Times New Roman" w:hAnsi="Times New Roman" w:cs="Times New Roman"/>
          <w:b/>
          <w:sz w:val="24"/>
        </w:rPr>
        <w:t>Notes to the Financial Statements</w:t>
      </w:r>
    </w:p>
    <w:p w14:paraId="29ACE928" w14:textId="1A3231E9" w:rsidR="0056179C" w:rsidRPr="004B0DA6" w:rsidRDefault="0056179C" w:rsidP="0056179C">
      <w:pPr>
        <w:jc w:val="center"/>
        <w:rPr>
          <w:rFonts w:ascii="Times New Roman" w:hAnsi="Times New Roman" w:cs="Times New Roman"/>
          <w:sz w:val="24"/>
        </w:rPr>
      </w:pPr>
      <w:r w:rsidRPr="004B0DA6">
        <w:rPr>
          <w:rFonts w:ascii="Times New Roman" w:hAnsi="Times New Roman" w:cs="Times New Roman"/>
          <w:b/>
          <w:sz w:val="24"/>
        </w:rPr>
        <w:t xml:space="preserve">For the Fiscal Year Ended June 30, </w:t>
      </w:r>
      <w:r w:rsidR="00A85B23" w:rsidRPr="004B0DA6">
        <w:rPr>
          <w:rFonts w:ascii="Times New Roman" w:hAnsi="Times New Roman" w:cs="Times New Roman"/>
          <w:b/>
          <w:sz w:val="24"/>
        </w:rPr>
        <w:t>202</w:t>
      </w:r>
      <w:r w:rsidR="003D4A9E" w:rsidRPr="004B0DA6">
        <w:rPr>
          <w:rFonts w:ascii="Times New Roman" w:hAnsi="Times New Roman" w:cs="Times New Roman"/>
          <w:b/>
          <w:sz w:val="24"/>
        </w:rPr>
        <w:t>4</w:t>
      </w:r>
    </w:p>
    <w:p w14:paraId="74417D63" w14:textId="56535A46" w:rsidR="0056179C" w:rsidRPr="004B0DA6" w:rsidRDefault="0056179C" w:rsidP="0056179C">
      <w:pPr>
        <w:rPr>
          <w:rFonts w:ascii="Times New Roman" w:hAnsi="Times New Roman" w:cs="Times New Roman"/>
          <w:b/>
          <w:bCs/>
          <w:sz w:val="24"/>
        </w:rPr>
      </w:pPr>
      <w:r w:rsidRPr="004B0DA6">
        <w:rPr>
          <w:rFonts w:ascii="Times New Roman" w:hAnsi="Times New Roman" w:cs="Times New Roman"/>
          <w:b/>
          <w:bCs/>
          <w:sz w:val="24"/>
        </w:rPr>
        <w:t xml:space="preserve">I. </w:t>
      </w:r>
      <w:r w:rsidRPr="004B0DA6">
        <w:rPr>
          <w:rFonts w:ascii="Times New Roman" w:hAnsi="Times New Roman" w:cs="Times New Roman"/>
          <w:b/>
          <w:bCs/>
          <w:sz w:val="24"/>
          <w:u w:val="single"/>
        </w:rPr>
        <w:t>Summary of Significant Accounting Policies</w:t>
      </w:r>
    </w:p>
    <w:p w14:paraId="7A7CDCCB" w14:textId="57257300" w:rsidR="0056179C" w:rsidRPr="004B0DA6" w:rsidRDefault="0056179C" w:rsidP="00732DFB">
      <w:pPr>
        <w:jc w:val="both"/>
        <w:rPr>
          <w:rFonts w:ascii="Times New Roman" w:hAnsi="Times New Roman" w:cs="Times New Roman"/>
          <w:sz w:val="24"/>
          <w:szCs w:val="24"/>
        </w:rPr>
      </w:pPr>
      <w:r w:rsidRPr="004B0DA6">
        <w:rPr>
          <w:rFonts w:ascii="Times New Roman" w:hAnsi="Times New Roman" w:cs="Times New Roman"/>
          <w:sz w:val="24"/>
          <w:szCs w:val="24"/>
        </w:rPr>
        <w:t>The accounting policies of the City of Dogwood and its discretely presented component unit conform to generally accepted accounting principles as applicable to governments.  The following is a summary of the more significant accounting policies:</w:t>
      </w:r>
    </w:p>
    <w:p w14:paraId="232F606B" w14:textId="3E73CB2B" w:rsidR="0056179C" w:rsidRPr="004B0DA6" w:rsidRDefault="0056179C" w:rsidP="0056179C">
      <w:pPr>
        <w:keepNext/>
        <w:pBdr>
          <w:top w:val="thinThickThinSmallGap" w:sz="24" w:space="2" w:color="auto"/>
          <w:left w:val="thinThickThinSmallGap" w:sz="24" w:space="4" w:color="auto"/>
          <w:bottom w:val="thinThickThinSmallGap" w:sz="24" w:space="4" w:color="auto"/>
          <w:right w:val="thinThickThinSmallGap" w:sz="24" w:space="4" w:color="auto"/>
        </w:pBdr>
        <w:tabs>
          <w:tab w:val="left" w:pos="630"/>
          <w:tab w:val="left" w:pos="792"/>
          <w:tab w:val="left" w:pos="1080"/>
          <w:tab w:val="left" w:pos="1440"/>
        </w:tabs>
        <w:spacing w:before="120"/>
        <w:ind w:right="83"/>
        <w:jc w:val="both"/>
        <w:rPr>
          <w:rFonts w:ascii="Times New Roman" w:eastAsia="Calibri" w:hAnsi="Times New Roman" w:cs="Times New Roman"/>
          <w:sz w:val="24"/>
          <w:szCs w:val="24"/>
        </w:rPr>
      </w:pPr>
      <w:bookmarkStart w:id="0" w:name="_Hlk140400764"/>
      <w:r w:rsidRPr="004B0DA6">
        <w:rPr>
          <w:rFonts w:ascii="Times New Roman" w:eastAsia="Calibri" w:hAnsi="Times New Roman" w:cs="Times New Roman"/>
          <w:b/>
          <w:sz w:val="24"/>
          <w:szCs w:val="24"/>
        </w:rPr>
        <w:t>Note to Preparer</w:t>
      </w:r>
      <w:r w:rsidRPr="004B0DA6">
        <w:rPr>
          <w:rFonts w:ascii="Times New Roman" w:eastAsia="Calibri" w:hAnsi="Times New Roman" w:cs="Times New Roman"/>
          <w:sz w:val="24"/>
          <w:szCs w:val="24"/>
        </w:rPr>
        <w:t xml:space="preserve">:  </w:t>
      </w:r>
      <w:r w:rsidR="00993C81" w:rsidRPr="004B0DA6">
        <w:rPr>
          <w:rFonts w:ascii="Times New Roman" w:eastAsia="Calibri" w:hAnsi="Times New Roman" w:cs="Times New Roman"/>
          <w:sz w:val="24"/>
          <w:szCs w:val="24"/>
        </w:rPr>
        <w:t xml:space="preserve">North Carolina </w:t>
      </w:r>
      <w:r w:rsidR="00993C81" w:rsidRPr="004B0DA6">
        <w:rPr>
          <w:rFonts w:ascii="Times New Roman" w:hAnsi="Times New Roman" w:cs="Times New Roman"/>
          <w:bCs/>
          <w:sz w:val="24"/>
          <w:szCs w:val="24"/>
        </w:rPr>
        <w:t>Local Government ARPA Resources</w:t>
      </w:r>
      <w:r w:rsidRPr="004B0DA6">
        <w:rPr>
          <w:rFonts w:ascii="Times New Roman" w:hAnsi="Times New Roman" w:cs="Times New Roman"/>
          <w:bCs/>
          <w:sz w:val="24"/>
          <w:szCs w:val="24"/>
        </w:rPr>
        <w:t xml:space="preserve"> may be found </w:t>
      </w:r>
      <w:hyperlink r:id="rId8" w:history="1">
        <w:r w:rsidRPr="004B0DA6">
          <w:rPr>
            <w:rFonts w:ascii="Times New Roman" w:hAnsi="Times New Roman" w:cs="Times New Roman"/>
            <w:bCs/>
            <w:color w:val="0000FF"/>
            <w:sz w:val="24"/>
            <w:szCs w:val="24"/>
            <w:u w:val="single"/>
          </w:rPr>
          <w:t>here</w:t>
        </w:r>
      </w:hyperlink>
      <w:r w:rsidRPr="004B0DA6">
        <w:rPr>
          <w:rFonts w:ascii="Times New Roman" w:hAnsi="Times New Roman" w:cs="Times New Roman"/>
          <w:bCs/>
          <w:sz w:val="24"/>
          <w:szCs w:val="24"/>
        </w:rPr>
        <w:t>.</w:t>
      </w:r>
    </w:p>
    <w:bookmarkEnd w:id="0"/>
    <w:p w14:paraId="58C83268" w14:textId="52B99DFE" w:rsidR="0056179C" w:rsidRPr="004B0DA6" w:rsidRDefault="0056179C" w:rsidP="0056179C">
      <w:pPr>
        <w:rPr>
          <w:rFonts w:ascii="Times New Roman" w:hAnsi="Times New Roman" w:cs="Times New Roman"/>
          <w:sz w:val="24"/>
          <w:szCs w:val="24"/>
        </w:rPr>
      </w:pPr>
      <w:r w:rsidRPr="004B0DA6">
        <w:rPr>
          <w:rFonts w:ascii="Times New Roman" w:hAnsi="Times New Roman" w:cs="Times New Roman"/>
          <w:sz w:val="24"/>
        </w:rPr>
        <w:t xml:space="preserve">A. </w:t>
      </w:r>
      <w:r w:rsidRPr="004B0DA6">
        <w:rPr>
          <w:rFonts w:ascii="Times New Roman" w:hAnsi="Times New Roman" w:cs="Times New Roman"/>
          <w:sz w:val="24"/>
          <w:szCs w:val="24"/>
          <w:u w:val="single"/>
        </w:rPr>
        <w:t>Reporting Entity</w:t>
      </w:r>
    </w:p>
    <w:p w14:paraId="00A4110E" w14:textId="3D974912" w:rsidR="0056179C" w:rsidRPr="004B0DA6" w:rsidRDefault="0056179C" w:rsidP="007112F8">
      <w:pPr>
        <w:pStyle w:val="BodyTextIndent"/>
        <w:spacing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rPr>
        <w:t>The City of Dogwood (the “City”) is a municipal corporation that is governed by an elected mayor and a five-member council.  As required by generally accepted accounting principles, these financial statements present the City and its component unit, a legally separate entity for which the City is financially accountable.  The discretely presented component unit presented below is reported in a separate column in the financial statements to emphasize that it is legally separate from the City.</w:t>
      </w:r>
    </w:p>
    <w:p w14:paraId="6FEFB497" w14:textId="1B998A9E" w:rsidR="0056179C" w:rsidRPr="004B0DA6" w:rsidRDefault="0056179C" w:rsidP="0056179C">
      <w:pPr>
        <w:rPr>
          <w:rFonts w:ascii="Times New Roman" w:hAnsi="Times New Roman" w:cs="Times New Roman"/>
          <w:sz w:val="24"/>
          <w:szCs w:val="24"/>
        </w:rPr>
      </w:pPr>
      <w:r w:rsidRPr="004B0DA6">
        <w:rPr>
          <w:rFonts w:ascii="Times New Roman" w:hAnsi="Times New Roman" w:cs="Times New Roman"/>
          <w:sz w:val="24"/>
          <w:szCs w:val="24"/>
          <w:u w:val="single"/>
        </w:rPr>
        <w:t>City of Dogwood ABC Board</w:t>
      </w:r>
    </w:p>
    <w:p w14:paraId="1BAE967D" w14:textId="2D2A660F" w:rsidR="00732DFB" w:rsidRPr="004B0DA6" w:rsidRDefault="0056179C" w:rsidP="00DE7B87">
      <w:pPr>
        <w:pStyle w:val="BodyText2"/>
        <w:spacing w:before="120" w:after="160"/>
        <w:jc w:val="both"/>
        <w:rPr>
          <w:rFonts w:ascii="Times New Roman" w:hAnsi="Times New Roman" w:cs="Times New Roman"/>
          <w:sz w:val="24"/>
        </w:rPr>
      </w:pPr>
      <w:r w:rsidRPr="004B0DA6">
        <w:rPr>
          <w:rFonts w:ascii="Times New Roman" w:hAnsi="Times New Roman" w:cs="Times New Roman"/>
          <w:sz w:val="24"/>
        </w:rPr>
        <w:t xml:space="preserve">The members of the ABC Board's governing board are appointed by the City.  In addition, the ABC Board is required by State statute to distribute its surpluses to the General Fund of the City.  The ABC Board, which has a June 30 year-end, is presented as if it were a proprietary fund (discrete presentation).  Complete financial statements for the ABC Board may be obtained from the entity's administrative offices at City of Dogwood ABC Board, 456 Party Avenue, Dogwood, NC 00000. </w: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240"/>
      </w:tblGrid>
      <w:tr w:rsidR="0056179C" w:rsidRPr="004B0DA6" w14:paraId="7592B5CD" w14:textId="77777777" w:rsidTr="00732DFB">
        <w:trPr>
          <w:trHeight w:val="645"/>
        </w:trPr>
        <w:tc>
          <w:tcPr>
            <w:tcW w:w="9576" w:type="dxa"/>
          </w:tcPr>
          <w:p w14:paraId="26ED3839" w14:textId="3C93CFAB" w:rsidR="0056179C" w:rsidRPr="004B0DA6" w:rsidRDefault="0056179C" w:rsidP="00F9386B">
            <w:pPr>
              <w:keepLines/>
              <w:jc w:val="both"/>
              <w:rPr>
                <w:rFonts w:ascii="Times New Roman" w:hAnsi="Times New Roman" w:cs="Times New Roman"/>
                <w:sz w:val="24"/>
                <w:szCs w:val="24"/>
              </w:rPr>
            </w:pPr>
            <w:bookmarkStart w:id="1" w:name="_Hlk75941199"/>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The ABC Board is considered immaterial relative to the primary government.  In this example, the notes relative to the ABC Board have been streamlined to include only the material items of cash, inventory, and capital assets disclosures o</w:t>
            </w:r>
            <w:r w:rsidR="00F03C19" w:rsidRPr="004B0DA6">
              <w:rPr>
                <w:rFonts w:ascii="Times New Roman" w:hAnsi="Times New Roman" w:cs="Times New Roman"/>
                <w:sz w:val="24"/>
                <w:szCs w:val="24"/>
              </w:rPr>
              <w:t>f</w:t>
            </w:r>
            <w:r w:rsidRPr="004B0DA6">
              <w:rPr>
                <w:rFonts w:ascii="Times New Roman" w:hAnsi="Times New Roman" w:cs="Times New Roman"/>
                <w:sz w:val="24"/>
                <w:szCs w:val="24"/>
              </w:rPr>
              <w:t xml:space="preserve"> the Board.  This satisfies reporting required by GASB Statement No. 14, as amended by GASB Statements Nos. 39 and 61.</w:t>
            </w:r>
          </w:p>
        </w:tc>
      </w:tr>
      <w:bookmarkEnd w:id="1"/>
    </w:tbl>
    <w:p w14:paraId="0AF072E9" w14:textId="77777777" w:rsidR="00DE7B87" w:rsidRPr="004B0DA6" w:rsidRDefault="00DE7B87" w:rsidP="00DE7B87">
      <w:pPr>
        <w:spacing w:after="0"/>
        <w:rPr>
          <w:rFonts w:ascii="Times New Roman" w:hAnsi="Times New Roman" w:cs="Times New Roman"/>
          <w:sz w:val="24"/>
          <w:szCs w:val="24"/>
        </w:rPr>
      </w:pPr>
    </w:p>
    <w:p w14:paraId="15A60DD0" w14:textId="4E9A27AA" w:rsidR="0056179C" w:rsidRPr="004B0DA6" w:rsidRDefault="0056179C" w:rsidP="0056179C">
      <w:pPr>
        <w:rPr>
          <w:rFonts w:ascii="Times New Roman" w:hAnsi="Times New Roman" w:cs="Times New Roman"/>
          <w:sz w:val="24"/>
          <w:szCs w:val="24"/>
          <w:u w:val="single"/>
        </w:rPr>
      </w:pPr>
      <w:r w:rsidRPr="004B0DA6">
        <w:rPr>
          <w:rFonts w:ascii="Times New Roman" w:hAnsi="Times New Roman" w:cs="Times New Roman"/>
          <w:sz w:val="24"/>
          <w:szCs w:val="24"/>
        </w:rPr>
        <w:t xml:space="preserve">B. </w:t>
      </w:r>
      <w:r w:rsidRPr="004B0DA6">
        <w:rPr>
          <w:rFonts w:ascii="Times New Roman" w:hAnsi="Times New Roman" w:cs="Times New Roman"/>
          <w:sz w:val="24"/>
          <w:szCs w:val="24"/>
          <w:u w:val="single"/>
        </w:rPr>
        <w:t xml:space="preserve">Basis of Presentation </w:t>
      </w:r>
    </w:p>
    <w:p w14:paraId="4A75A23F" w14:textId="4B5D162D" w:rsidR="0056179C" w:rsidRPr="004B0DA6" w:rsidRDefault="0056179C" w:rsidP="0056179C">
      <w:pPr>
        <w:jc w:val="both"/>
        <w:rPr>
          <w:rFonts w:ascii="Times New Roman" w:hAnsi="Times New Roman" w:cs="Times New Roman"/>
          <w:sz w:val="24"/>
          <w:szCs w:val="24"/>
        </w:rPr>
      </w:pPr>
      <w:r w:rsidRPr="004B0DA6">
        <w:rPr>
          <w:rFonts w:ascii="Times New Roman" w:hAnsi="Times New Roman" w:cs="Times New Roman"/>
          <w:i/>
          <w:iCs/>
          <w:sz w:val="24"/>
          <w:szCs w:val="24"/>
        </w:rPr>
        <w:t>Government-wide Statements</w:t>
      </w:r>
      <w:r w:rsidRPr="004B0DA6">
        <w:rPr>
          <w:rFonts w:ascii="Times New Roman" w:hAnsi="Times New Roman" w:cs="Times New Roman"/>
          <w:sz w:val="24"/>
          <w:szCs w:val="24"/>
        </w:rPr>
        <w:t>: The statement of net position and the statement of activities display</w:t>
      </w:r>
      <w:r w:rsidR="00C7277D" w:rsidRPr="004B0DA6">
        <w:rPr>
          <w:rFonts w:ascii="Times New Roman" w:hAnsi="Times New Roman" w:cs="Times New Roman"/>
          <w:sz w:val="24"/>
          <w:szCs w:val="24"/>
        </w:rPr>
        <w:t xml:space="preserve"> </w:t>
      </w:r>
      <w:r w:rsidRPr="004B0DA6">
        <w:rPr>
          <w:rFonts w:ascii="Times New Roman" w:hAnsi="Times New Roman" w:cs="Times New Roman"/>
          <w:sz w:val="24"/>
          <w:szCs w:val="24"/>
        </w:rPr>
        <w:t xml:space="preserve">information about the primary government and its component unit. These statements include the financial activities of the overall government. Eliminations have been made to minimize the double counting of internal activities. These statements distinguish between the </w:t>
      </w:r>
      <w:r w:rsidRPr="004B0DA6">
        <w:rPr>
          <w:rFonts w:ascii="Times New Roman" w:hAnsi="Times New Roman" w:cs="Times New Roman"/>
          <w:i/>
          <w:iCs/>
          <w:sz w:val="24"/>
          <w:szCs w:val="24"/>
        </w:rPr>
        <w:t>governmental</w:t>
      </w:r>
      <w:r w:rsidRPr="004B0DA6">
        <w:rPr>
          <w:rFonts w:ascii="Times New Roman" w:hAnsi="Times New Roman" w:cs="Times New Roman"/>
          <w:sz w:val="24"/>
          <w:szCs w:val="24"/>
        </w:rPr>
        <w:t xml:space="preserve"> and </w:t>
      </w:r>
      <w:r w:rsidRPr="004B0DA6">
        <w:rPr>
          <w:rFonts w:ascii="Times New Roman" w:hAnsi="Times New Roman" w:cs="Times New Roman"/>
          <w:i/>
          <w:iCs/>
          <w:sz w:val="24"/>
          <w:szCs w:val="24"/>
        </w:rPr>
        <w:t>business-type activities</w:t>
      </w:r>
      <w:r w:rsidRPr="004B0DA6">
        <w:rPr>
          <w:rFonts w:ascii="Times New Roman" w:hAnsi="Times New Roman" w:cs="Times New Roman"/>
          <w:sz w:val="24"/>
          <w:szCs w:val="24"/>
        </w:rPr>
        <w:t xml:space="preserve"> of the City. Governmental activities generally are financed through taxes, intergovernmental revenues, and other non-exchange transactions. Business-type activities are financed in whole or in part by fees charged to external parties.</w:t>
      </w:r>
    </w:p>
    <w:p w14:paraId="7158A107" w14:textId="286D4B14" w:rsidR="0056179C" w:rsidRPr="004B0DA6" w:rsidRDefault="0056179C" w:rsidP="0056179C">
      <w:pPr>
        <w:jc w:val="both"/>
        <w:rPr>
          <w:rFonts w:ascii="Times New Roman" w:hAnsi="Times New Roman" w:cs="Times New Roman"/>
          <w:sz w:val="24"/>
          <w:szCs w:val="24"/>
        </w:rPr>
      </w:pPr>
      <w:r w:rsidRPr="004B0DA6">
        <w:rPr>
          <w:rFonts w:ascii="Times New Roman" w:hAnsi="Times New Roman" w:cs="Times New Roman"/>
          <w:sz w:val="24"/>
          <w:szCs w:val="24"/>
        </w:rPr>
        <w:lastRenderedPageBreak/>
        <w:t>The statement of activities presents a comparison between direct expenses and program revenues for the different business-type activities of the City and for each function of the City’s governmental activities. Direct expenses are those that are specifically associated with a program or function and, therefore, are clearly identifiable to a specific function. Indirect expense allocations that have been made in the funds have been reversed for the statement of activities. Program revenues include (a) fees and charges paid by the recipients of goods or services offered by the programs and (b) grants and contributions that are restricted to meeting the operational or capital requirements of a specific program. Revenues that are not classified as program revenues, including all taxes, are presented as general revenues.</w:t>
      </w:r>
    </w:p>
    <w:p w14:paraId="10FAFC16" w14:textId="03E6059A" w:rsidR="0056179C" w:rsidRPr="004B0DA6" w:rsidRDefault="0056179C" w:rsidP="0056179C">
      <w:pPr>
        <w:jc w:val="both"/>
        <w:rPr>
          <w:rFonts w:ascii="Times New Roman" w:hAnsi="Times New Roman" w:cs="Times New Roman"/>
          <w:sz w:val="24"/>
          <w:szCs w:val="24"/>
        </w:rPr>
      </w:pPr>
      <w:r w:rsidRPr="004B0DA6">
        <w:rPr>
          <w:rFonts w:ascii="Times New Roman" w:hAnsi="Times New Roman" w:cs="Times New Roman"/>
          <w:i/>
          <w:iCs/>
          <w:sz w:val="24"/>
          <w:szCs w:val="24"/>
        </w:rPr>
        <w:t>Fund Financial Statements</w:t>
      </w:r>
      <w:r w:rsidRPr="004B0DA6">
        <w:rPr>
          <w:rFonts w:ascii="Times New Roman" w:hAnsi="Times New Roman" w:cs="Times New Roman"/>
          <w:sz w:val="24"/>
          <w:szCs w:val="24"/>
        </w:rPr>
        <w:t xml:space="preserve">: The fund financial statements provide information about the City’s funds. Separate statements for each fund category – </w:t>
      </w:r>
      <w:r w:rsidRPr="004B0DA6">
        <w:rPr>
          <w:rFonts w:ascii="Times New Roman" w:hAnsi="Times New Roman" w:cs="Times New Roman"/>
          <w:i/>
          <w:iCs/>
          <w:sz w:val="24"/>
          <w:szCs w:val="24"/>
        </w:rPr>
        <w:t>governmental and proprietary</w:t>
      </w:r>
      <w:r w:rsidRPr="004B0DA6">
        <w:rPr>
          <w:rFonts w:ascii="Times New Roman" w:hAnsi="Times New Roman" w:cs="Times New Roman"/>
          <w:sz w:val="24"/>
          <w:szCs w:val="24"/>
        </w:rPr>
        <w:t xml:space="preserve"> – are presented. The City has no fiduciary funds to report. The emphasis of fund financial statements is on major governmental and enterprise funds, each displayed in a separate column. All remaining governmental and enterprise funds are aggregated and reported as non-major funds.</w:t>
      </w:r>
    </w:p>
    <w:p w14:paraId="758B04C3" w14:textId="2A71956D" w:rsidR="0056179C" w:rsidRPr="004B0DA6" w:rsidRDefault="0056179C" w:rsidP="0056179C">
      <w:pPr>
        <w:jc w:val="both"/>
        <w:rPr>
          <w:rFonts w:ascii="Times New Roman" w:hAnsi="Times New Roman" w:cs="Times New Roman"/>
          <w:sz w:val="24"/>
          <w:szCs w:val="24"/>
        </w:rPr>
      </w:pPr>
      <w:r w:rsidRPr="004B0DA6">
        <w:rPr>
          <w:rFonts w:ascii="Times New Roman" w:hAnsi="Times New Roman" w:cs="Times New Roman"/>
          <w:sz w:val="24"/>
          <w:szCs w:val="24"/>
        </w:rPr>
        <w:t>Proprietary fund operating revenues, such as charges for services, result from exchange transactions associated with the principal activity of the fund. Exchange transactions are those in which each party receives and gives up essentially equal values. Non-operating revenues, such as subsidies result from non-exchange transactions. Other non-operating revenues are ancillary activities such as investment earnings.</w: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240"/>
      </w:tblGrid>
      <w:tr w:rsidR="0056179C" w:rsidRPr="004B0DA6" w14:paraId="2490E0C8" w14:textId="77777777" w:rsidTr="007112F8">
        <w:trPr>
          <w:trHeight w:val="3840"/>
        </w:trPr>
        <w:tc>
          <w:tcPr>
            <w:tcW w:w="10656" w:type="dxa"/>
          </w:tcPr>
          <w:p w14:paraId="7142A3C0" w14:textId="40C6AFA9" w:rsidR="0056179C" w:rsidRPr="004B0DA6" w:rsidRDefault="0056179C" w:rsidP="00F9386B">
            <w:pPr>
              <w:keepLines/>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xml:space="preserve">:  As a result of the implementation of GASB Statement No. 84, </w:t>
            </w:r>
            <w:r w:rsidRPr="004B0DA6">
              <w:rPr>
                <w:rFonts w:ascii="Times New Roman" w:hAnsi="Times New Roman" w:cs="Times New Roman"/>
                <w:i/>
                <w:iCs/>
                <w:sz w:val="24"/>
                <w:szCs w:val="24"/>
              </w:rPr>
              <w:t>Fiduciary Activities</w:t>
            </w:r>
            <w:r w:rsidRPr="004B0DA6">
              <w:rPr>
                <w:rFonts w:ascii="Times New Roman" w:hAnsi="Times New Roman" w:cs="Times New Roman"/>
                <w:sz w:val="24"/>
                <w:szCs w:val="24"/>
              </w:rPr>
              <w:t>, the City’s previous Fines and Forfeitures Agency Fund has been reclassified as a nonmajor special revenue fund, leaving the City of Dogwood with no fiduciary funds for reporting purposes. The notes to the City financial statements have been revised to remove references to fiduciary funds and fiduciary fund statements. This may be different for other municipalities so preparers should analyze their individual municipalities and report appropriately. Preparers can refer</w:t>
            </w:r>
            <w:r w:rsidR="007112F8" w:rsidRPr="004B0DA6">
              <w:rPr>
                <w:rFonts w:ascii="Times New Roman" w:hAnsi="Times New Roman" w:cs="Times New Roman"/>
                <w:sz w:val="24"/>
                <w:szCs w:val="24"/>
              </w:rPr>
              <w:t xml:space="preserve"> to</w:t>
            </w:r>
            <w:r w:rsidRPr="004B0DA6">
              <w:rPr>
                <w:rFonts w:ascii="Times New Roman" w:hAnsi="Times New Roman" w:cs="Times New Roman"/>
                <w:sz w:val="24"/>
                <w:szCs w:val="24"/>
              </w:rPr>
              <w:t xml:space="preserve"> the </w:t>
            </w:r>
            <w:r w:rsidR="00A85B23" w:rsidRPr="004B0DA6">
              <w:rPr>
                <w:rFonts w:ascii="Times New Roman" w:hAnsi="Times New Roman" w:cs="Times New Roman"/>
                <w:sz w:val="24"/>
                <w:szCs w:val="24"/>
              </w:rPr>
              <w:t>202</w:t>
            </w:r>
            <w:r w:rsidR="0013633E" w:rsidRPr="004B0DA6">
              <w:rPr>
                <w:rFonts w:ascii="Times New Roman" w:hAnsi="Times New Roman" w:cs="Times New Roman"/>
                <w:sz w:val="24"/>
                <w:szCs w:val="24"/>
              </w:rPr>
              <w:t>4</w:t>
            </w:r>
            <w:r w:rsidRPr="004B0DA6">
              <w:rPr>
                <w:rFonts w:ascii="Times New Roman" w:hAnsi="Times New Roman" w:cs="Times New Roman"/>
                <w:sz w:val="24"/>
                <w:szCs w:val="24"/>
              </w:rPr>
              <w:t xml:space="preserve"> Carolina County illustrative financial statements for guidance on the presentation and note disclosures applicable to fiduciary activities under GASB Statement No. 84.  Preparers should refer to the guidance in </w:t>
            </w:r>
            <w:hyperlink r:id="rId9" w:history="1">
              <w:r w:rsidR="007E63B0" w:rsidRPr="004B0DA6">
                <w:rPr>
                  <w:rFonts w:ascii="Times New Roman" w:hAnsi="Times New Roman" w:cs="Times New Roman"/>
                  <w:color w:val="0000FF"/>
                  <w:sz w:val="24"/>
                  <w:szCs w:val="24"/>
                  <w:u w:val="single"/>
                </w:rPr>
                <w:t>Memorandum # 2021-04</w:t>
              </w:r>
            </w:hyperlink>
            <w:r w:rsidRPr="004B0DA6">
              <w:rPr>
                <w:rFonts w:ascii="Times New Roman" w:hAnsi="Times New Roman" w:cs="Times New Roman"/>
                <w:sz w:val="24"/>
                <w:szCs w:val="24"/>
              </w:rPr>
              <w:t xml:space="preserve"> on the DST Website. </w:t>
            </w:r>
            <w:r w:rsidR="007E63B0" w:rsidRPr="004B0DA6">
              <w:rPr>
                <w:rFonts w:ascii="Times New Roman" w:hAnsi="Times New Roman" w:cs="Times New Roman"/>
                <w:sz w:val="24"/>
                <w:szCs w:val="24"/>
              </w:rPr>
              <w:t xml:space="preserve">NC </w:t>
            </w:r>
            <w:r w:rsidR="007E63B0" w:rsidRPr="004B0DA6">
              <w:rPr>
                <w:rFonts w:ascii="Times New Roman" w:hAnsi="Times New Roman" w:cs="Times New Roman"/>
                <w:color w:val="0000FF"/>
                <w:sz w:val="24"/>
                <w:szCs w:val="24"/>
                <w:u w:val="single"/>
              </w:rPr>
              <w:t>G.S. 159-13</w:t>
            </w:r>
            <w:r w:rsidRPr="004B0DA6">
              <w:rPr>
                <w:rFonts w:ascii="Times New Roman" w:hAnsi="Times New Roman" w:cs="Times New Roman"/>
                <w:sz w:val="24"/>
                <w:szCs w:val="24"/>
              </w:rPr>
              <w:t xml:space="preserve">(a)(3) excludes </w:t>
            </w:r>
            <w:r w:rsidR="009D4F61" w:rsidRPr="004B0DA6">
              <w:rPr>
                <w:rFonts w:ascii="Times New Roman" w:hAnsi="Times New Roman" w:cs="Times New Roman"/>
                <w:sz w:val="24"/>
                <w:szCs w:val="24"/>
              </w:rPr>
              <w:t>trust and custodial</w:t>
            </w:r>
            <w:r w:rsidRPr="004B0DA6">
              <w:rPr>
                <w:rFonts w:ascii="Times New Roman" w:hAnsi="Times New Roman" w:cs="Times New Roman"/>
                <w:sz w:val="24"/>
                <w:szCs w:val="24"/>
              </w:rPr>
              <w:t xml:space="preserve"> fund transactions from being budgeted. With the implementation of GASB 84 during the fiscal year ending June 30, 2021, fines and forfeitures should be budgeted, accounted </w:t>
            </w:r>
            <w:r w:rsidR="00BF6A8C" w:rsidRPr="004B0DA6">
              <w:rPr>
                <w:rFonts w:ascii="Times New Roman" w:hAnsi="Times New Roman" w:cs="Times New Roman"/>
                <w:sz w:val="24"/>
                <w:szCs w:val="24"/>
              </w:rPr>
              <w:t>for,</w:t>
            </w:r>
            <w:r w:rsidRPr="004B0DA6">
              <w:rPr>
                <w:rFonts w:ascii="Times New Roman" w:hAnsi="Times New Roman" w:cs="Times New Roman"/>
                <w:sz w:val="24"/>
                <w:szCs w:val="24"/>
              </w:rPr>
              <w:t xml:space="preserve"> and reported in a special revenue fund.</w:t>
            </w:r>
          </w:p>
        </w:tc>
      </w:tr>
    </w:tbl>
    <w:p w14:paraId="3FFDF3A8" w14:textId="77777777" w:rsidR="004462DF" w:rsidRPr="004B0DA6" w:rsidRDefault="004462DF" w:rsidP="004462DF">
      <w:pPr>
        <w:spacing w:after="0"/>
        <w:jc w:val="both"/>
        <w:rPr>
          <w:rFonts w:ascii="Times New Roman" w:hAnsi="Times New Roman" w:cs="Times New Roman"/>
          <w:sz w:val="24"/>
        </w:rPr>
      </w:pPr>
    </w:p>
    <w:p w14:paraId="1D0EA570" w14:textId="45F76C2E" w:rsidR="0056179C" w:rsidRPr="004B0DA6" w:rsidRDefault="0056179C" w:rsidP="00BB09F7">
      <w:pPr>
        <w:jc w:val="both"/>
        <w:rPr>
          <w:rFonts w:ascii="Times New Roman" w:hAnsi="Times New Roman" w:cs="Times New Roman"/>
          <w:sz w:val="24"/>
        </w:rPr>
      </w:pPr>
      <w:r w:rsidRPr="004B0DA6">
        <w:rPr>
          <w:rFonts w:ascii="Times New Roman" w:hAnsi="Times New Roman" w:cs="Times New Roman"/>
          <w:sz w:val="24"/>
        </w:rPr>
        <w:t>The City reports the following major governmental funds:</w:t>
      </w:r>
    </w:p>
    <w:p w14:paraId="1008FB5D" w14:textId="3A0A15CC"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b/>
          <w:sz w:val="24"/>
        </w:rPr>
        <w:t xml:space="preserve">General Fund. </w:t>
      </w:r>
      <w:r w:rsidRPr="004B0DA6">
        <w:rPr>
          <w:rFonts w:ascii="Times New Roman" w:hAnsi="Times New Roman" w:cs="Times New Roman"/>
          <w:sz w:val="24"/>
        </w:rPr>
        <w:t xml:space="preserve">The General Fund is the general operating fund of the City.  The General Fund accounts for all financial resources except those that are required to be accounted for in another fund.  The primary revenue sources are ad valorem taxes, State grants, and various other taxes and licenses. The primary expenditures are for public safety, street maintenance and construction, and sanitation services. Additionally, the City has legally adopted an Economic Development Fund.  Under GASB 54 guidance the Economic Development Fund is consolidated in the General Fund.  </w:t>
      </w:r>
      <w:r w:rsidRPr="004B0DA6">
        <w:rPr>
          <w:rFonts w:ascii="Times New Roman" w:hAnsi="Times New Roman" w:cs="Times New Roman"/>
          <w:sz w:val="24"/>
        </w:rPr>
        <w:lastRenderedPageBreak/>
        <w:t>The budgetary comparison for the Economic Development Fund has been included in the supplemental information.</w:t>
      </w:r>
    </w:p>
    <w:p w14:paraId="683204E7" w14:textId="094B0C61"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b/>
          <w:bCs/>
          <w:sz w:val="24"/>
        </w:rPr>
        <w:t xml:space="preserve">Emergency Telephone System Special Revenue Fund. </w:t>
      </w:r>
      <w:r w:rsidRPr="004B0DA6">
        <w:rPr>
          <w:rFonts w:ascii="Times New Roman" w:hAnsi="Times New Roman" w:cs="Times New Roman"/>
          <w:sz w:val="24"/>
        </w:rPr>
        <w:t xml:space="preserve"> This fund is used to account for 911 revenues received by the State 911 Board to enhance the State’s 911 system.</w:t>
      </w:r>
    </w:p>
    <w:p w14:paraId="4219E2D1" w14:textId="1F268995"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b/>
          <w:bCs/>
          <w:sz w:val="24"/>
        </w:rPr>
        <w:t xml:space="preserve">Parking and Recreation Capital Projects Fund. </w:t>
      </w:r>
      <w:r w:rsidRPr="004B0DA6">
        <w:rPr>
          <w:rFonts w:ascii="Times New Roman" w:hAnsi="Times New Roman" w:cs="Times New Roman"/>
          <w:sz w:val="24"/>
        </w:rPr>
        <w:t>This fund is used to account for the construction of a new city park and parking facilities.</w:t>
      </w:r>
    </w:p>
    <w:p w14:paraId="2987B915" w14:textId="2478D047"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sz w:val="24"/>
        </w:rPr>
        <w:t>The City reports the following non-major governmental funds:</w:t>
      </w:r>
    </w:p>
    <w:p w14:paraId="2421C5F6" w14:textId="49DB01A5"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b/>
          <w:bCs/>
          <w:sz w:val="24"/>
        </w:rPr>
        <w:t>Grant Project Special Revenue Fund.</w:t>
      </w:r>
      <w:r w:rsidRPr="004B0DA6">
        <w:rPr>
          <w:rFonts w:ascii="Times New Roman" w:hAnsi="Times New Roman" w:cs="Times New Roman"/>
          <w:sz w:val="24"/>
        </w:rPr>
        <w:t xml:space="preserve">  This fund is used to account for grant funds that are restricted for use for a particular purpose.</w:t>
      </w:r>
    </w:p>
    <w:p w14:paraId="2085E181" w14:textId="71DAE636"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b/>
          <w:bCs/>
          <w:sz w:val="24"/>
        </w:rPr>
        <w:t xml:space="preserve">Fines and Forfeitures Special Revenue Fund. </w:t>
      </w:r>
      <w:r w:rsidRPr="004B0DA6">
        <w:rPr>
          <w:rFonts w:ascii="Times New Roman" w:hAnsi="Times New Roman" w:cs="Times New Roman"/>
          <w:sz w:val="24"/>
        </w:rPr>
        <w:t xml:space="preserve"> This fund accounts for various legal fines and forfeitures that the City is required to remit to the Carolina County Board of Education.</w:t>
      </w:r>
    </w:p>
    <w:p w14:paraId="77FED711" w14:textId="75BEAC8F"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b/>
          <w:bCs/>
          <w:sz w:val="24"/>
        </w:rPr>
        <w:t xml:space="preserve">Cemetery Permanent Fund.  </w:t>
      </w:r>
      <w:r w:rsidRPr="004B0DA6">
        <w:rPr>
          <w:rFonts w:ascii="Times New Roman" w:hAnsi="Times New Roman" w:cs="Times New Roman"/>
          <w:sz w:val="24"/>
        </w:rPr>
        <w:t>This fund is used to account for perpetual care of the municipal cemetery.</w:t>
      </w:r>
    </w:p>
    <w:p w14:paraId="7FBD6FA0" w14:textId="2EEEEF66"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sz w:val="24"/>
        </w:rPr>
        <w:t>The City reports the following major enterprise funds:</w:t>
      </w:r>
    </w:p>
    <w:p w14:paraId="6AF1D118" w14:textId="1F62E2DD"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b/>
          <w:bCs/>
          <w:sz w:val="24"/>
        </w:rPr>
        <w:t xml:space="preserve">Electric Fund. </w:t>
      </w:r>
      <w:r w:rsidRPr="004B0DA6">
        <w:rPr>
          <w:rFonts w:ascii="Times New Roman" w:hAnsi="Times New Roman" w:cs="Times New Roman"/>
          <w:sz w:val="24"/>
        </w:rPr>
        <w:t>This fund is used to account for the City’s electric operations.  An Electric Rate Stabilization Fund has been consolidated into the Electric Fund for financial reporting purposes.  The budgetary comparison for the Electric Rate Stabilization Fund has been included in the supplemental information.</w:t>
      </w:r>
    </w:p>
    <w:p w14:paraId="5059D573" w14:textId="2FA604B7"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b/>
          <w:bCs/>
          <w:sz w:val="24"/>
        </w:rPr>
        <w:t xml:space="preserve">Water and Sewer Fund. </w:t>
      </w:r>
      <w:r w:rsidRPr="004B0DA6">
        <w:rPr>
          <w:rFonts w:ascii="Times New Roman" w:hAnsi="Times New Roman" w:cs="Times New Roman"/>
          <w:sz w:val="24"/>
        </w:rPr>
        <w:t xml:space="preserve">This fund is used to account for the City’s water and sewer operations.  A Water and Sewer Capital Projects Fund has been consolidated into the Water and Sewer Fund for financial reporting purposes.  The budgetary comparison for the Water and Sewer Capital Projects Fund has been included in the supplemental information. </w:t>
      </w:r>
    </w:p>
    <w:p w14:paraId="419FEA0F" w14:textId="79A83533"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sz w:val="24"/>
        </w:rPr>
        <w:t>The City reports the following fund type:</w:t>
      </w:r>
    </w:p>
    <w:p w14:paraId="039B6408" w14:textId="49FEABD5" w:rsidR="00BB09F7" w:rsidRPr="004B0DA6" w:rsidRDefault="0056179C" w:rsidP="004462DF">
      <w:pPr>
        <w:spacing w:after="0"/>
        <w:jc w:val="both"/>
        <w:rPr>
          <w:rFonts w:ascii="Times New Roman" w:hAnsi="Times New Roman" w:cs="Times New Roman"/>
          <w:sz w:val="24"/>
        </w:rPr>
      </w:pPr>
      <w:r w:rsidRPr="004B0DA6">
        <w:rPr>
          <w:rFonts w:ascii="Times New Roman" w:hAnsi="Times New Roman" w:cs="Times New Roman"/>
          <w:b/>
          <w:bCs/>
          <w:sz w:val="24"/>
        </w:rPr>
        <w:t xml:space="preserve">Internal Service Fund. </w:t>
      </w:r>
      <w:r w:rsidRPr="004B0DA6">
        <w:rPr>
          <w:rFonts w:ascii="Times New Roman" w:hAnsi="Times New Roman" w:cs="Times New Roman"/>
          <w:sz w:val="24"/>
        </w:rPr>
        <w:t>The Central Garage Fund is used to account for the accumulation and allocation of costs associated with the City’s central garage.</w:t>
      </w:r>
    </w:p>
    <w:tbl>
      <w:tblPr>
        <w:tblpPr w:leftFromText="180" w:rightFromText="180" w:vertAnchor="text" w:horzAnchor="margin" w:tblpY="286"/>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240"/>
      </w:tblGrid>
      <w:tr w:rsidR="00C425E3" w:rsidRPr="004B0DA6" w14:paraId="5400682F" w14:textId="77777777" w:rsidTr="00C425E3">
        <w:trPr>
          <w:trHeight w:val="645"/>
        </w:trPr>
        <w:tc>
          <w:tcPr>
            <w:tcW w:w="9240" w:type="dxa"/>
          </w:tcPr>
          <w:p w14:paraId="3BA56AD6" w14:textId="2612DB15" w:rsidR="00C425E3" w:rsidRPr="004B0DA6" w:rsidRDefault="00C425E3" w:rsidP="00C425E3">
            <w:pPr>
              <w:keepLines/>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xml:space="preserve">:  If your unit has ARPA funds in a special revenue </w:t>
            </w:r>
            <w:r w:rsidR="002028A7" w:rsidRPr="004B0DA6">
              <w:rPr>
                <w:rFonts w:ascii="Times New Roman" w:hAnsi="Times New Roman" w:cs="Times New Roman"/>
                <w:sz w:val="24"/>
                <w:szCs w:val="24"/>
              </w:rPr>
              <w:t xml:space="preserve">funds </w:t>
            </w:r>
            <w:r w:rsidRPr="004B0DA6">
              <w:rPr>
                <w:rFonts w:ascii="Times New Roman" w:hAnsi="Times New Roman" w:cs="Times New Roman"/>
                <w:sz w:val="24"/>
                <w:szCs w:val="24"/>
              </w:rPr>
              <w:t xml:space="preserve">please refer to Carolina County Illustrative Statements for guidance. </w:t>
            </w:r>
          </w:p>
        </w:tc>
      </w:tr>
    </w:tbl>
    <w:p w14:paraId="184D8E95" w14:textId="77777777" w:rsidR="004462DF" w:rsidRPr="004B0DA6" w:rsidRDefault="004462DF" w:rsidP="004462DF">
      <w:pPr>
        <w:spacing w:after="0"/>
        <w:rPr>
          <w:rFonts w:ascii="Times New Roman" w:hAnsi="Times New Roman" w:cs="Times New Roman"/>
          <w:sz w:val="24"/>
        </w:rPr>
      </w:pPr>
    </w:p>
    <w:p w14:paraId="636D5461" w14:textId="2FF2FFD6" w:rsidR="0056179C" w:rsidRPr="004B0DA6" w:rsidRDefault="0056179C" w:rsidP="0056179C">
      <w:pPr>
        <w:rPr>
          <w:rFonts w:ascii="Times New Roman" w:hAnsi="Times New Roman" w:cs="Times New Roman"/>
          <w:sz w:val="24"/>
          <w:u w:val="single"/>
        </w:rPr>
      </w:pPr>
      <w:r w:rsidRPr="004B0DA6">
        <w:rPr>
          <w:rFonts w:ascii="Times New Roman" w:hAnsi="Times New Roman" w:cs="Times New Roman"/>
          <w:sz w:val="24"/>
        </w:rPr>
        <w:t xml:space="preserve">C. </w:t>
      </w:r>
      <w:r w:rsidRPr="004B0DA6">
        <w:rPr>
          <w:rFonts w:ascii="Times New Roman" w:hAnsi="Times New Roman" w:cs="Times New Roman"/>
          <w:sz w:val="24"/>
          <w:u w:val="single"/>
        </w:rPr>
        <w:t>Measurement Focus and Basis of Accounting</w:t>
      </w:r>
    </w:p>
    <w:p w14:paraId="7ACEA212" w14:textId="71EEAC3D" w:rsidR="0056179C" w:rsidRPr="004B0DA6" w:rsidRDefault="0056179C" w:rsidP="00BB09F7">
      <w:pPr>
        <w:jc w:val="both"/>
        <w:rPr>
          <w:rFonts w:ascii="Times New Roman" w:hAnsi="Times New Roman" w:cs="Times New Roman"/>
          <w:sz w:val="24"/>
        </w:rPr>
      </w:pPr>
      <w:r w:rsidRPr="004B0DA6">
        <w:rPr>
          <w:rFonts w:ascii="Times New Roman" w:hAnsi="Times New Roman" w:cs="Times New Roman"/>
          <w:sz w:val="24"/>
        </w:rPr>
        <w:t>In accordance with North Carolina General Statutes, all funds of the City are maintained during the year using the modified accrual basis of accounting.</w:t>
      </w:r>
    </w:p>
    <w:p w14:paraId="194BC75D" w14:textId="6C52A229" w:rsidR="0056179C" w:rsidRPr="004B0DA6" w:rsidRDefault="0056179C" w:rsidP="0056179C">
      <w:pPr>
        <w:jc w:val="both"/>
        <w:rPr>
          <w:rFonts w:ascii="Times New Roman" w:hAnsi="Times New Roman" w:cs="Times New Roman"/>
          <w:color w:val="FF0000"/>
          <w:sz w:val="24"/>
        </w:rPr>
      </w:pPr>
      <w:r w:rsidRPr="004B0DA6">
        <w:rPr>
          <w:rFonts w:ascii="Times New Roman" w:hAnsi="Times New Roman" w:cs="Times New Roman"/>
          <w:i/>
          <w:iCs/>
          <w:sz w:val="24"/>
        </w:rPr>
        <w:t>Government-wide and Proprietary Fund Financial Statements</w:t>
      </w:r>
      <w:r w:rsidRPr="004B0DA6">
        <w:rPr>
          <w:rFonts w:ascii="Times New Roman" w:hAnsi="Times New Roman" w:cs="Times New Roman"/>
          <w:sz w:val="24"/>
        </w:rPr>
        <w:t xml:space="preserve">. The government-wide and proprietary fund financial statements are reported using the economic resources measurement focus. The government-wide and proprietary fund financial statements are reported using the accrual basis of accounting. Revenues are recorded when earned and expenses are recorded at the </w:t>
      </w:r>
      <w:r w:rsidRPr="004B0DA6">
        <w:rPr>
          <w:rFonts w:ascii="Times New Roman" w:hAnsi="Times New Roman" w:cs="Times New Roman"/>
          <w:sz w:val="24"/>
        </w:rPr>
        <w:lastRenderedPageBreak/>
        <w:t>time liabilities are incurred, regardless of when the related cash flows take place. Non-exchange transactions, in which the City gives (or receives) value without directly receiving (or giving) equal value in exchange, include property taxes, grants, and donations. On an accrual basis, revenue from property taxes is recognized in the fiscal year for which the taxes are levied. Revenue from grants and donations is recognized in the fiscal year in which all eligibility requirements have been satisfied.</w:t>
      </w:r>
    </w:p>
    <w:p w14:paraId="30C1E21B" w14:textId="3923DE6E"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sz w:val="24"/>
        </w:rPr>
        <w:t>Amounts reported as program revenues include 1) charges to customers or applicants for goods, services, or privileges provided, 2) operating grants and contributions, and 3) capital grants and contributions, including special assessments.  Internally dedicated resources are reported as general revenues rather than as program revenues.  Likewise, general revenues include all taxes.</w:t>
      </w:r>
    </w:p>
    <w:p w14:paraId="7B10C3D9" w14:textId="6D8C7B57"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sz w:val="24"/>
        </w:rPr>
        <w:t>Proprietary funds distinguish operating revenues and expenses from non-operating items.  Operating revenues and expenses generally result from providing services and producing and delivering goods in connection with a proprietary fund’s principal ongoing operations.  The principal operating revenues of the City enterprise funds are charges to customers for sales and services.  The City also recognizes as operating revenue the portion of tap fees intended to recover the cost of connecting new customers to the water and sewer system.  Operating expenses for enterprise funds include the cost of sales and services, administrative expenses, and depreciation</w:t>
      </w:r>
      <w:r w:rsidR="00CF470C" w:rsidRPr="004B0DA6">
        <w:rPr>
          <w:rFonts w:ascii="Times New Roman" w:hAnsi="Times New Roman" w:cs="Times New Roman"/>
          <w:sz w:val="24"/>
        </w:rPr>
        <w:t>/amortization</w:t>
      </w:r>
      <w:r w:rsidRPr="004B0DA6">
        <w:rPr>
          <w:rFonts w:ascii="Times New Roman" w:hAnsi="Times New Roman" w:cs="Times New Roman"/>
          <w:sz w:val="24"/>
        </w:rPr>
        <w:t xml:space="preserve"> on capital assets.  All revenues and expenses not meeting this definition are reported as non-operating revenues and expenses.  </w:t>
      </w:r>
    </w:p>
    <w:p w14:paraId="35ACE2AD" w14:textId="4813C783" w:rsidR="0056179C" w:rsidRPr="004B0DA6" w:rsidRDefault="0056179C" w:rsidP="00BB09F7">
      <w:pPr>
        <w:jc w:val="both"/>
        <w:rPr>
          <w:rFonts w:ascii="Times New Roman" w:hAnsi="Times New Roman" w:cs="Times New Roman"/>
          <w:sz w:val="24"/>
        </w:rPr>
      </w:pPr>
      <w:r w:rsidRPr="004B0DA6">
        <w:rPr>
          <w:rFonts w:ascii="Times New Roman" w:hAnsi="Times New Roman" w:cs="Times New Roman"/>
          <w:i/>
          <w:iCs/>
          <w:sz w:val="24"/>
        </w:rPr>
        <w:t>Governmental Fund Financial Statements</w:t>
      </w:r>
      <w:r w:rsidRPr="004B0DA6">
        <w:rPr>
          <w:rFonts w:ascii="Times New Roman" w:hAnsi="Times New Roman" w:cs="Times New Roman"/>
          <w:sz w:val="24"/>
        </w:rPr>
        <w:t xml:space="preserve">. Governmental funds are reported using the current financial resources measurement focus and the modified accrual basis of accounting. Under this method, revenues are recognized when measurable and available. Expenditures are recorded when the related fund liability is incurred, except for principal and interest on general long-term debt, claims and judgments, and compensated absences, which are recognized as expenditures to the extent they have matured. General capital asset acquisitions are reported as expenditures in governmental funds. Issuance of general long-term debt </w:t>
      </w:r>
      <w:r w:rsidR="00CB173F" w:rsidRPr="004B0DA6">
        <w:rPr>
          <w:rFonts w:ascii="Times New Roman" w:hAnsi="Times New Roman" w:cs="Times New Roman"/>
          <w:sz w:val="24"/>
        </w:rPr>
        <w:t>and</w:t>
      </w:r>
      <w:r w:rsidRPr="004B0DA6">
        <w:rPr>
          <w:rFonts w:ascii="Times New Roman" w:hAnsi="Times New Roman" w:cs="Times New Roman"/>
          <w:sz w:val="24"/>
        </w:rPr>
        <w:t xml:space="preserve"> acquisitions under </w:t>
      </w:r>
      <w:r w:rsidR="00CB173F" w:rsidRPr="004B0DA6">
        <w:rPr>
          <w:rFonts w:ascii="Times New Roman" w:hAnsi="Times New Roman" w:cs="Times New Roman"/>
          <w:sz w:val="24"/>
        </w:rPr>
        <w:t>leas</w:t>
      </w:r>
      <w:r w:rsidRPr="004B0DA6">
        <w:rPr>
          <w:rFonts w:ascii="Times New Roman" w:hAnsi="Times New Roman" w:cs="Times New Roman"/>
          <w:sz w:val="24"/>
        </w:rPr>
        <w:t>es</w:t>
      </w:r>
      <w:r w:rsidR="00CB173F" w:rsidRPr="004B0DA6">
        <w:rPr>
          <w:rFonts w:ascii="Times New Roman" w:hAnsi="Times New Roman" w:cs="Times New Roman"/>
          <w:sz w:val="24"/>
        </w:rPr>
        <w:t xml:space="preserve"> and IT subscriptions</w:t>
      </w:r>
      <w:r w:rsidRPr="004B0DA6">
        <w:rPr>
          <w:rFonts w:ascii="Times New Roman" w:hAnsi="Times New Roman" w:cs="Times New Roman"/>
          <w:sz w:val="24"/>
        </w:rPr>
        <w:t xml:space="preserve"> are reported as other financing sources.</w:t>
      </w:r>
    </w:p>
    <w:p w14:paraId="333A2E1A" w14:textId="214DBB5E" w:rsidR="0056179C" w:rsidRPr="004B0DA6" w:rsidRDefault="0056179C" w:rsidP="00615D71">
      <w:pPr>
        <w:jc w:val="both"/>
        <w:rPr>
          <w:rFonts w:ascii="Times New Roman" w:hAnsi="Times New Roman" w:cs="Times New Roman"/>
          <w:sz w:val="24"/>
        </w:rPr>
      </w:pPr>
      <w:r w:rsidRPr="004B0DA6">
        <w:rPr>
          <w:rFonts w:ascii="Times New Roman" w:hAnsi="Times New Roman" w:cs="Times New Roman"/>
          <w:sz w:val="24"/>
        </w:rPr>
        <w:t xml:space="preserve">The City considers all revenues available if they are collected within 90 days after year-end, except for property taxes.  Ad valorem taxes receivable </w:t>
      </w:r>
      <w:r w:rsidR="0078372D" w:rsidRPr="004B0DA6">
        <w:rPr>
          <w:rFonts w:ascii="Times New Roman" w:hAnsi="Times New Roman" w:cs="Times New Roman"/>
          <w:sz w:val="24"/>
        </w:rPr>
        <w:t>is</w:t>
      </w:r>
      <w:r w:rsidRPr="004B0DA6">
        <w:rPr>
          <w:rFonts w:ascii="Times New Roman" w:hAnsi="Times New Roman" w:cs="Times New Roman"/>
          <w:sz w:val="24"/>
        </w:rPr>
        <w:t xml:space="preserve"> not accrued as revenue because the amount is not susceptible to accrual.  At June 30, taxes receivable for property other than motor vehicles are materially past due and are not considered to be an available resource to finance the operations of the current year.  Also, as of September 1, 2013, State law altered the procedures for the assessment and collection of property taxes on registered motor vehicles in North Carolina.  Effective with this change in the law, the State of North Carolina is responsible for billing and collecting the property taxes on registered motor vehicles on behalf of all municipalities and special tax districts.  Property taxes are due when vehicles are registered.  The billed taxes are applicable to the fiscal year in which they are received.   Uncollected taxes that were billed in periods prior to September 1, 2013, and for limited registration plates are shown as a receivable in these financial statements and are offset by deferred inflows of resources.</w:t>
      </w:r>
    </w:p>
    <w:tbl>
      <w:tblPr>
        <w:tblW w:w="948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480"/>
      </w:tblGrid>
      <w:tr w:rsidR="0056179C" w:rsidRPr="004B0DA6" w14:paraId="74D8160F" w14:textId="77777777" w:rsidTr="00C92257">
        <w:trPr>
          <w:trHeight w:val="2391"/>
        </w:trPr>
        <w:tc>
          <w:tcPr>
            <w:tcW w:w="9480" w:type="dxa"/>
          </w:tcPr>
          <w:p w14:paraId="5A07609A" w14:textId="77777777" w:rsidR="0056179C" w:rsidRPr="004B0DA6" w:rsidRDefault="0056179C" w:rsidP="00F9386B">
            <w:pPr>
              <w:keepLines/>
              <w:jc w:val="both"/>
              <w:rPr>
                <w:rFonts w:ascii="Times New Roman" w:hAnsi="Times New Roman" w:cs="Times New Roman"/>
                <w:sz w:val="24"/>
                <w:szCs w:val="24"/>
              </w:rPr>
            </w:pPr>
            <w:r w:rsidRPr="004B0DA6">
              <w:rPr>
                <w:rFonts w:ascii="Times New Roman" w:hAnsi="Times New Roman" w:cs="Times New Roman"/>
                <w:b/>
                <w:bCs/>
                <w:sz w:val="24"/>
                <w:szCs w:val="24"/>
              </w:rPr>
              <w:lastRenderedPageBreak/>
              <w:t>Note to preparer</w:t>
            </w:r>
            <w:r w:rsidRPr="004B0DA6">
              <w:rPr>
                <w:rFonts w:ascii="Times New Roman" w:hAnsi="Times New Roman" w:cs="Times New Roman"/>
                <w:sz w:val="24"/>
                <w:szCs w:val="24"/>
              </w:rPr>
              <w:t>:  Any motor vehicle property taxes collected by the State for municipalities or special tax districts prior to June 30</w:t>
            </w:r>
            <w:r w:rsidRPr="004B0DA6">
              <w:rPr>
                <w:rFonts w:ascii="Times New Roman" w:hAnsi="Times New Roman" w:cs="Times New Roman"/>
                <w:sz w:val="24"/>
                <w:szCs w:val="24"/>
                <w:vertAlign w:val="superscript"/>
              </w:rPr>
              <w:t>th</w:t>
            </w:r>
            <w:r w:rsidRPr="004B0DA6">
              <w:rPr>
                <w:rFonts w:ascii="Times New Roman" w:hAnsi="Times New Roman" w:cs="Times New Roman"/>
                <w:sz w:val="24"/>
                <w:szCs w:val="24"/>
              </w:rPr>
              <w:t xml:space="preserve"> which are not remitted to those governmental entities until after the fiscal year end should be reported as collected property taxes at year-end by those entities.  The amounts of tax moneys due from the State via the County should be reported as an intergovernmental receivable.  </w:t>
            </w:r>
          </w:p>
          <w:p w14:paraId="11D35E5F" w14:textId="77777777" w:rsidR="0056179C" w:rsidRPr="004B0DA6" w:rsidRDefault="0056179C" w:rsidP="00F9386B">
            <w:pPr>
              <w:keepLines/>
              <w:jc w:val="both"/>
              <w:rPr>
                <w:rFonts w:ascii="Times New Roman" w:hAnsi="Times New Roman" w:cs="Times New Roman"/>
              </w:rPr>
            </w:pPr>
            <w:r w:rsidRPr="004B0DA6">
              <w:rPr>
                <w:rFonts w:ascii="Times New Roman" w:hAnsi="Times New Roman" w:cs="Times New Roman"/>
                <w:sz w:val="24"/>
                <w:szCs w:val="24"/>
              </w:rPr>
              <w:t>The SLGFD anticipates that any receivables from limited registration plates will be immaterial.  They have been included in the note for illustrative purposes.</w:t>
            </w:r>
          </w:p>
        </w:tc>
      </w:tr>
    </w:tbl>
    <w:p w14:paraId="20D33C74" w14:textId="77777777" w:rsidR="0056179C" w:rsidRPr="004B0DA6" w:rsidRDefault="0056179C" w:rsidP="007A1A19">
      <w:pPr>
        <w:spacing w:after="0"/>
        <w:rPr>
          <w:rFonts w:ascii="Times New Roman" w:hAnsi="Times New Roman" w:cs="Times New Roman"/>
          <w:sz w:val="24"/>
        </w:rPr>
      </w:pPr>
    </w:p>
    <w:p w14:paraId="62C3037B" w14:textId="77777777"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sz w:val="24"/>
        </w:rPr>
        <w:t>Sales taxes and certain intergovernmental revenues, such as the beer and wine tax, collected and held by the State at year-end on behalf of the City are recognized as revenue.  Sales taxes are considered a shared revenue for the City of Dogwood because the tax is levied by Carolina County and then remitted to and distributed by the State.  Most intergovernmental revenues and sales and services are not susceptible to accrual because generally they are not measurable until received in cash.  All taxes, including those dedicated for specific purposes are reported as general revenues rather than program revenues. Under the terms of grant agreements, the City funds certain programs by a combination of specific cost-reimbursement grants, categorical block grants, and general revenues. Thus, when program expenses are incurred, there is both restricted and unrestricted net position available to finance the program.  It is the City’s policy to first apply cost-reimbursement grant resources to such programs, followed by categorical block grants, and then general revenues.</w:t>
      </w:r>
    </w:p>
    <w:p w14:paraId="6E69819D" w14:textId="77777777" w:rsidR="0056179C" w:rsidRPr="004B0DA6" w:rsidRDefault="0056179C" w:rsidP="007A1A19">
      <w:pPr>
        <w:spacing w:after="0"/>
        <w:jc w:val="both"/>
        <w:rPr>
          <w:rFonts w:ascii="Times New Roman" w:hAnsi="Times New Roman" w:cs="Times New Roman"/>
          <w:sz w:val="24"/>
        </w:rPr>
      </w:pPr>
    </w:p>
    <w:p w14:paraId="3436AF6A" w14:textId="06F2947F" w:rsidR="0056179C" w:rsidRPr="004B0DA6" w:rsidRDefault="0056179C" w:rsidP="0056179C">
      <w:pPr>
        <w:jc w:val="both"/>
        <w:rPr>
          <w:rFonts w:ascii="Times New Roman" w:hAnsi="Times New Roman" w:cs="Times New Roman"/>
          <w:sz w:val="24"/>
          <w:szCs w:val="24"/>
        </w:rPr>
      </w:pPr>
      <w:r w:rsidRPr="004B0DA6">
        <w:rPr>
          <w:rFonts w:ascii="Times New Roman" w:hAnsi="Times New Roman" w:cs="Times New Roman"/>
          <w:sz w:val="24"/>
          <w:szCs w:val="24"/>
        </w:rPr>
        <w:t xml:space="preserve">D. </w:t>
      </w:r>
      <w:r w:rsidRPr="004B0DA6">
        <w:rPr>
          <w:rFonts w:ascii="Times New Roman" w:hAnsi="Times New Roman" w:cs="Times New Roman"/>
          <w:sz w:val="24"/>
          <w:szCs w:val="24"/>
          <w:u w:val="single"/>
        </w:rPr>
        <w:t>Budgetary Data</w:t>
      </w:r>
    </w:p>
    <w:p w14:paraId="23AF67E2" w14:textId="59669746" w:rsidR="0056179C" w:rsidRPr="004B0DA6" w:rsidRDefault="0056179C" w:rsidP="0056179C">
      <w:pPr>
        <w:jc w:val="both"/>
        <w:rPr>
          <w:rFonts w:ascii="Times New Roman" w:hAnsi="Times New Roman" w:cs="Times New Roman"/>
          <w:sz w:val="24"/>
          <w:szCs w:val="24"/>
        </w:rPr>
      </w:pPr>
      <w:r w:rsidRPr="004B0DA6">
        <w:rPr>
          <w:rFonts w:ascii="Times New Roman" w:hAnsi="Times New Roman" w:cs="Times New Roman"/>
          <w:sz w:val="24"/>
          <w:szCs w:val="24"/>
        </w:rPr>
        <w:t xml:space="preserve">The City’s budgets are adopted as required by the North Carolina General Statutes.  An annual budget is adopted for the General Fund, the Economic Development Fund, the Emergency Telephone Special Revenue Fund, the Fines and Forfeitures Special Revenue Fund, and the Enterprise Funds.  All annual appropriations lapse at the fiscal year-end.  Project ordinances are adopted for the Grant Projects Special Revenue Fund, the Parking and Recreation Capital Projects Fund, the Enterprise Capital Projects Funds, and the Electric Rate Stabilization Fund.  The enterprise fund </w:t>
      </w:r>
      <w:r w:rsidR="007C1766" w:rsidRPr="004B0DA6">
        <w:rPr>
          <w:rFonts w:ascii="Times New Roman" w:hAnsi="Times New Roman" w:cs="Times New Roman"/>
          <w:sz w:val="24"/>
          <w:szCs w:val="24"/>
        </w:rPr>
        <w:t xml:space="preserve">capital </w:t>
      </w:r>
      <w:r w:rsidRPr="004B0DA6">
        <w:rPr>
          <w:rFonts w:ascii="Times New Roman" w:hAnsi="Times New Roman" w:cs="Times New Roman"/>
          <w:sz w:val="24"/>
          <w:szCs w:val="24"/>
        </w:rPr>
        <w:t>projects are consolidated with their respective operating fund for reporting purposes.  The City’s Central Garage Fund, an internal service fund, operates under a financial plan that was adopted by the governing board at the time the City’s budget ordinance was approved, as is required by the General Statutes.  All budgets are prepared using the modified accrual basis of accounting.  Expenditures may not legally exceed appropriations at the functional level for all annually budgeted funds and at the project level for the multi-year funds.  All amendments must be approved by the governing board and the Board must adopt an interim budget that covers that time until the annual ordinance can be adopted.  The Cemetery Permanent Fund is not required to be budgeted.</w:t>
      </w:r>
    </w:p>
    <w:p w14:paraId="4FC64DB1" w14:textId="77777777" w:rsidR="007A1A19" w:rsidRPr="004B0DA6" w:rsidRDefault="007A1A19" w:rsidP="0056179C">
      <w:pPr>
        <w:jc w:val="both"/>
        <w:rPr>
          <w:rFonts w:ascii="Times New Roman" w:hAnsi="Times New Roman" w:cs="Times New Roman"/>
          <w:sz w:val="24"/>
          <w:szCs w:val="24"/>
        </w:rPr>
      </w:pPr>
    </w:p>
    <w:tbl>
      <w:tblPr>
        <w:tblW w:w="930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1E0" w:firstRow="1" w:lastRow="1" w:firstColumn="1" w:lastColumn="1" w:noHBand="0" w:noVBand="0"/>
      </w:tblPr>
      <w:tblGrid>
        <w:gridCol w:w="9300"/>
      </w:tblGrid>
      <w:tr w:rsidR="0056179C" w:rsidRPr="004B0DA6" w14:paraId="42DA99FB" w14:textId="77777777" w:rsidTr="00024EC3">
        <w:tc>
          <w:tcPr>
            <w:tcW w:w="9300" w:type="dxa"/>
          </w:tcPr>
          <w:p w14:paraId="1B3106B2" w14:textId="73B837AE" w:rsidR="0056179C" w:rsidRPr="004B0DA6" w:rsidRDefault="0056179C" w:rsidP="00F9386B">
            <w:pPr>
              <w:keepLines/>
              <w:jc w:val="both"/>
              <w:rPr>
                <w:rFonts w:ascii="Times New Roman" w:hAnsi="Times New Roman" w:cs="Times New Roman"/>
                <w:sz w:val="24"/>
                <w:szCs w:val="24"/>
              </w:rPr>
            </w:pPr>
            <w:r w:rsidRPr="004B0DA6">
              <w:rPr>
                <w:rFonts w:ascii="Times New Roman" w:hAnsi="Times New Roman" w:cs="Times New Roman"/>
                <w:b/>
                <w:bCs/>
                <w:sz w:val="24"/>
                <w:szCs w:val="24"/>
              </w:rPr>
              <w:lastRenderedPageBreak/>
              <w:t>Note to preparer</w:t>
            </w:r>
            <w:r w:rsidRPr="004B0DA6">
              <w:rPr>
                <w:rFonts w:ascii="Times New Roman" w:hAnsi="Times New Roman" w:cs="Times New Roman"/>
                <w:sz w:val="24"/>
                <w:szCs w:val="24"/>
              </w:rPr>
              <w:t xml:space="preserve">: Please adjust the Budgetary Data note based on how your local government adopted their budget.  This note along with stewardship and Budget to Actual statements will be used by our office to verify budgetary compliance.  According to </w:t>
            </w:r>
            <w:hyperlink r:id="rId10" w:history="1">
              <w:r w:rsidR="007E63B0" w:rsidRPr="004B0DA6">
                <w:rPr>
                  <w:rFonts w:ascii="Times New Roman" w:hAnsi="Times New Roman" w:cs="Times New Roman"/>
                  <w:color w:val="0000FF"/>
                  <w:sz w:val="24"/>
                  <w:szCs w:val="24"/>
                  <w:u w:val="single"/>
                </w:rPr>
                <w:t>NC G.S. 159-13</w:t>
              </w:r>
            </w:hyperlink>
            <w:r w:rsidR="007E63B0" w:rsidRPr="004B0DA6">
              <w:rPr>
                <w:rFonts w:ascii="Times New Roman" w:hAnsi="Times New Roman" w:cs="Times New Roman"/>
                <w:sz w:val="24"/>
                <w:szCs w:val="24"/>
              </w:rPr>
              <w:t xml:space="preserve"> </w:t>
            </w:r>
            <w:r w:rsidRPr="004B0DA6">
              <w:rPr>
                <w:rFonts w:ascii="Times New Roman" w:hAnsi="Times New Roman" w:cs="Times New Roman"/>
                <w:sz w:val="24"/>
                <w:szCs w:val="24"/>
              </w:rPr>
              <w:t xml:space="preserve">(a), local governments shall make appropriations by department, function, or project.  </w:t>
            </w:r>
          </w:p>
        </w:tc>
      </w:tr>
    </w:tbl>
    <w:p w14:paraId="5751F851" w14:textId="77777777" w:rsidR="0056179C" w:rsidRPr="004B0DA6" w:rsidRDefault="0056179C" w:rsidP="007A1A19">
      <w:pPr>
        <w:spacing w:after="0"/>
        <w:jc w:val="both"/>
        <w:rPr>
          <w:rFonts w:ascii="Times New Roman" w:hAnsi="Times New Roman" w:cs="Times New Roman"/>
          <w:sz w:val="24"/>
        </w:rPr>
      </w:pPr>
    </w:p>
    <w:p w14:paraId="4443A257" w14:textId="5AEBE0E5"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sz w:val="24"/>
        </w:rPr>
        <w:t xml:space="preserve">E. </w:t>
      </w:r>
      <w:r w:rsidRPr="004B0DA6">
        <w:rPr>
          <w:rFonts w:ascii="Times New Roman" w:hAnsi="Times New Roman" w:cs="Times New Roman"/>
          <w:sz w:val="24"/>
          <w:u w:val="single"/>
        </w:rPr>
        <w:t>Assets, Liabilities, Deferred Outflows/Inflows of Resources, and Fund Equity</w:t>
      </w:r>
    </w:p>
    <w:p w14:paraId="31AF074B" w14:textId="261F9E10" w:rsidR="0056179C" w:rsidRPr="004B0DA6" w:rsidRDefault="0056179C" w:rsidP="0056179C">
      <w:pPr>
        <w:jc w:val="both"/>
        <w:rPr>
          <w:rFonts w:ascii="Times New Roman" w:hAnsi="Times New Roman" w:cs="Times New Roman"/>
          <w:sz w:val="24"/>
          <w:szCs w:val="24"/>
        </w:rPr>
      </w:pPr>
      <w:bookmarkStart w:id="2" w:name="_Hlk180416680"/>
      <w:r w:rsidRPr="004B0DA6">
        <w:rPr>
          <w:rFonts w:ascii="Times New Roman" w:hAnsi="Times New Roman" w:cs="Times New Roman"/>
          <w:sz w:val="24"/>
          <w:szCs w:val="24"/>
        </w:rPr>
        <w:t xml:space="preserve">1. </w:t>
      </w:r>
      <w:r w:rsidRPr="004B0DA6">
        <w:rPr>
          <w:rFonts w:ascii="Times New Roman" w:hAnsi="Times New Roman" w:cs="Times New Roman"/>
          <w:sz w:val="24"/>
          <w:szCs w:val="24"/>
          <w:u w:val="single"/>
        </w:rPr>
        <w:t>Deposits and Investments</w:t>
      </w:r>
    </w:p>
    <w:p w14:paraId="78060C5A" w14:textId="2FCFB4C6" w:rsidR="0056179C" w:rsidRPr="004B0DA6" w:rsidRDefault="0056179C" w:rsidP="0056179C">
      <w:pPr>
        <w:jc w:val="both"/>
        <w:rPr>
          <w:rFonts w:ascii="Times New Roman" w:hAnsi="Times New Roman" w:cs="Times New Roman"/>
          <w:sz w:val="24"/>
          <w:szCs w:val="24"/>
        </w:rPr>
      </w:pPr>
      <w:r w:rsidRPr="004B0DA6">
        <w:rPr>
          <w:rFonts w:ascii="Times New Roman" w:hAnsi="Times New Roman" w:cs="Times New Roman"/>
          <w:sz w:val="24"/>
          <w:szCs w:val="24"/>
        </w:rPr>
        <w:t xml:space="preserve">All deposits of the City and the ABC Board are made in board-designated official depositories and are secured as required by </w:t>
      </w:r>
      <w:r w:rsidR="007E63B0" w:rsidRPr="004B0DA6">
        <w:rPr>
          <w:rFonts w:ascii="Times New Roman" w:hAnsi="Times New Roman" w:cs="Times New Roman"/>
          <w:sz w:val="24"/>
          <w:szCs w:val="24"/>
        </w:rPr>
        <w:t xml:space="preserve">NC </w:t>
      </w:r>
      <w:r w:rsidRPr="004B0DA6">
        <w:rPr>
          <w:rFonts w:ascii="Times New Roman" w:hAnsi="Times New Roman" w:cs="Times New Roman"/>
          <w:sz w:val="24"/>
          <w:szCs w:val="24"/>
        </w:rPr>
        <w:t>State law [</w:t>
      </w:r>
      <w:hyperlink r:id="rId11" w:history="1">
        <w:r w:rsidR="007E63B0" w:rsidRPr="004B0DA6">
          <w:rPr>
            <w:rFonts w:ascii="Times New Roman" w:hAnsi="Times New Roman" w:cs="Times New Roman"/>
            <w:color w:val="0000FF"/>
            <w:sz w:val="24"/>
            <w:szCs w:val="24"/>
            <w:u w:val="single"/>
          </w:rPr>
          <w:t>G.S. 159-31</w:t>
        </w:r>
      </w:hyperlink>
      <w:r w:rsidRPr="004B0DA6">
        <w:rPr>
          <w:rFonts w:ascii="Times New Roman" w:hAnsi="Times New Roman" w:cs="Times New Roman"/>
          <w:sz w:val="24"/>
          <w:szCs w:val="24"/>
        </w:rPr>
        <w:t xml:space="preserve">].  The City and the ABC Board may designate, as an official depository, any bank or savings association whose principal office </w:t>
      </w:r>
      <w:proofErr w:type="gramStart"/>
      <w:r w:rsidRPr="004B0DA6">
        <w:rPr>
          <w:rFonts w:ascii="Times New Roman" w:hAnsi="Times New Roman" w:cs="Times New Roman"/>
          <w:sz w:val="24"/>
          <w:szCs w:val="24"/>
        </w:rPr>
        <w:t>is located in</w:t>
      </w:r>
      <w:proofErr w:type="gramEnd"/>
      <w:r w:rsidRPr="004B0DA6">
        <w:rPr>
          <w:rFonts w:ascii="Times New Roman" w:hAnsi="Times New Roman" w:cs="Times New Roman"/>
          <w:sz w:val="24"/>
          <w:szCs w:val="24"/>
        </w:rPr>
        <w:t xml:space="preserve"> North Carolina.  Also, the City and the ABC Board may establish time deposit accounts such as NOW and SuperNOW accounts, money market accounts, and certificates of deposit.</w:t>
      </w:r>
    </w:p>
    <w:p w14:paraId="484E931F" w14:textId="41F4DE87" w:rsidR="00047333" w:rsidRPr="004B0DA6" w:rsidRDefault="007E63B0" w:rsidP="0056179C">
      <w:pPr>
        <w:jc w:val="both"/>
        <w:rPr>
          <w:rFonts w:ascii="Times New Roman" w:hAnsi="Times New Roman" w:cs="Times New Roman"/>
          <w:sz w:val="24"/>
          <w:szCs w:val="24"/>
        </w:rPr>
      </w:pPr>
      <w:r w:rsidRPr="004B0DA6">
        <w:rPr>
          <w:rFonts w:ascii="Times New Roman" w:hAnsi="Times New Roman" w:cs="Times New Roman"/>
          <w:sz w:val="24"/>
          <w:szCs w:val="24"/>
        </w:rPr>
        <w:t xml:space="preserve">NC </w:t>
      </w:r>
      <w:r w:rsidR="0056179C" w:rsidRPr="004B0DA6">
        <w:rPr>
          <w:rFonts w:ascii="Times New Roman" w:hAnsi="Times New Roman" w:cs="Times New Roman"/>
          <w:sz w:val="24"/>
          <w:szCs w:val="24"/>
        </w:rPr>
        <w:t>State law [</w:t>
      </w:r>
      <w:hyperlink r:id="rId12" w:history="1">
        <w:r w:rsidRPr="004B0DA6">
          <w:rPr>
            <w:rFonts w:ascii="Times New Roman" w:hAnsi="Times New Roman" w:cs="Times New Roman"/>
            <w:color w:val="0000FF"/>
            <w:sz w:val="24"/>
            <w:szCs w:val="24"/>
            <w:u w:val="single"/>
          </w:rPr>
          <w:t>G.S. 159-30</w:t>
        </w:r>
      </w:hyperlink>
      <w:r w:rsidR="0056179C" w:rsidRPr="004B0DA6">
        <w:rPr>
          <w:rFonts w:ascii="Times New Roman" w:hAnsi="Times New Roman" w:cs="Times New Roman"/>
          <w:sz w:val="24"/>
          <w:szCs w:val="24"/>
        </w:rPr>
        <w:t>(c)] authorizes the City and the ABC Board to invest in obligations of the United States or obligations fully guaranteed both as to principal and interest by the United States, obligations of the State of North Carolina, bonds and notes of any North Carolina local government or public authority, obligations of certain non-guaranteed federal agencies,  certain high quality issues of commercial paper</w:t>
      </w:r>
      <w:r w:rsidRPr="004B0DA6">
        <w:rPr>
          <w:rFonts w:ascii="Times New Roman" w:hAnsi="Times New Roman" w:cs="Times New Roman"/>
          <w:sz w:val="24"/>
          <w:szCs w:val="24"/>
        </w:rPr>
        <w:t xml:space="preserve">,  </w:t>
      </w:r>
      <w:r w:rsidR="0056179C" w:rsidRPr="004B0DA6">
        <w:rPr>
          <w:rFonts w:ascii="Times New Roman" w:hAnsi="Times New Roman" w:cs="Times New Roman"/>
          <w:sz w:val="24"/>
          <w:szCs w:val="24"/>
        </w:rPr>
        <w:t xml:space="preserve">bankers’ acceptances, and </w:t>
      </w:r>
      <w:r w:rsidRPr="004B0DA6">
        <w:rPr>
          <w:rFonts w:ascii="Times New Roman" w:hAnsi="Times New Roman" w:cs="Times New Roman"/>
          <w:sz w:val="24"/>
          <w:szCs w:val="24"/>
        </w:rPr>
        <w:t>mutual fund shares when the mutual fund is certified by the Local Government Commission.</w:t>
      </w:r>
      <w:r w:rsidR="0056179C" w:rsidRPr="004B0DA6">
        <w:rPr>
          <w:rFonts w:ascii="Times New Roman" w:hAnsi="Times New Roman" w:cs="Times New Roman"/>
          <w:sz w:val="24"/>
          <w:szCs w:val="24"/>
        </w:rPr>
        <w:t xml:space="preserve">  The City’s and the ABC Board’s investments are generally reported at fair value. </w:t>
      </w:r>
    </w:p>
    <w:p w14:paraId="6B53D453" w14:textId="0B36E36C" w:rsidR="00047333" w:rsidRPr="004B0DA6" w:rsidRDefault="00047333" w:rsidP="0056179C">
      <w:pPr>
        <w:jc w:val="both"/>
        <w:rPr>
          <w:rFonts w:ascii="Times New Roman" w:hAnsi="Times New Roman" w:cs="Times New Roman"/>
          <w:sz w:val="24"/>
          <w:szCs w:val="24"/>
        </w:rPr>
      </w:pPr>
      <w:r w:rsidRPr="004B0DA6">
        <w:rPr>
          <w:rFonts w:ascii="Times New Roman" w:hAnsi="Times New Roman" w:cs="Times New Roman"/>
          <w:sz w:val="24"/>
          <w:szCs w:val="24"/>
          <w:highlight w:val="yellow"/>
        </w:rPr>
        <w:t>The</w:t>
      </w:r>
      <w:r w:rsidRPr="004B0DA6">
        <w:rPr>
          <w:rFonts w:ascii="Times New Roman" w:hAnsi="Times New Roman" w:cs="Times New Roman"/>
          <w:spacing w:val="40"/>
          <w:sz w:val="24"/>
          <w:szCs w:val="24"/>
          <w:highlight w:val="yellow"/>
        </w:rPr>
        <w:t xml:space="preserve"> </w:t>
      </w:r>
      <w:r w:rsidRPr="004B0DA6">
        <w:rPr>
          <w:rFonts w:ascii="Times New Roman" w:hAnsi="Times New Roman" w:cs="Times New Roman"/>
          <w:sz w:val="24"/>
          <w:szCs w:val="24"/>
          <w:highlight w:val="yellow"/>
        </w:rPr>
        <w:t>North</w:t>
      </w:r>
      <w:r w:rsidRPr="004B0DA6">
        <w:rPr>
          <w:rFonts w:ascii="Times New Roman" w:hAnsi="Times New Roman" w:cs="Times New Roman"/>
          <w:spacing w:val="40"/>
          <w:sz w:val="24"/>
          <w:szCs w:val="24"/>
          <w:highlight w:val="yellow"/>
        </w:rPr>
        <w:t xml:space="preserve"> </w:t>
      </w:r>
      <w:r w:rsidRPr="004B0DA6">
        <w:rPr>
          <w:rFonts w:ascii="Times New Roman" w:hAnsi="Times New Roman" w:cs="Times New Roman"/>
          <w:sz w:val="24"/>
          <w:szCs w:val="24"/>
          <w:highlight w:val="yellow"/>
        </w:rPr>
        <w:t>Carolina</w:t>
      </w:r>
      <w:r w:rsidRPr="004B0DA6">
        <w:rPr>
          <w:rFonts w:ascii="Times New Roman" w:hAnsi="Times New Roman" w:cs="Times New Roman"/>
          <w:spacing w:val="40"/>
          <w:sz w:val="24"/>
          <w:szCs w:val="24"/>
          <w:highlight w:val="yellow"/>
        </w:rPr>
        <w:t xml:space="preserve"> </w:t>
      </w:r>
      <w:r w:rsidRPr="004B0DA6">
        <w:rPr>
          <w:rFonts w:ascii="Times New Roman" w:hAnsi="Times New Roman" w:cs="Times New Roman"/>
          <w:sz w:val="24"/>
          <w:szCs w:val="24"/>
          <w:highlight w:val="yellow"/>
        </w:rPr>
        <w:t>Capital</w:t>
      </w:r>
      <w:r w:rsidRPr="004B0DA6">
        <w:rPr>
          <w:rFonts w:ascii="Times New Roman" w:hAnsi="Times New Roman" w:cs="Times New Roman"/>
          <w:spacing w:val="40"/>
          <w:sz w:val="24"/>
          <w:szCs w:val="24"/>
          <w:highlight w:val="yellow"/>
        </w:rPr>
        <w:t xml:space="preserve"> </w:t>
      </w:r>
      <w:r w:rsidRPr="004B0DA6">
        <w:rPr>
          <w:rFonts w:ascii="Times New Roman" w:hAnsi="Times New Roman" w:cs="Times New Roman"/>
          <w:sz w:val="24"/>
          <w:szCs w:val="24"/>
          <w:highlight w:val="yellow"/>
        </w:rPr>
        <w:t>Management</w:t>
      </w:r>
      <w:r w:rsidRPr="004B0DA6">
        <w:rPr>
          <w:rFonts w:ascii="Times New Roman" w:hAnsi="Times New Roman" w:cs="Times New Roman"/>
          <w:spacing w:val="40"/>
          <w:sz w:val="24"/>
          <w:szCs w:val="24"/>
          <w:highlight w:val="yellow"/>
        </w:rPr>
        <w:t xml:space="preserve"> </w:t>
      </w:r>
      <w:r w:rsidRPr="004B0DA6">
        <w:rPr>
          <w:rFonts w:ascii="Times New Roman" w:hAnsi="Times New Roman" w:cs="Times New Roman"/>
          <w:sz w:val="24"/>
          <w:szCs w:val="24"/>
          <w:highlight w:val="yellow"/>
        </w:rPr>
        <w:t>Trust</w:t>
      </w:r>
      <w:r w:rsidRPr="004B0DA6">
        <w:rPr>
          <w:rFonts w:ascii="Times New Roman" w:hAnsi="Times New Roman" w:cs="Times New Roman"/>
          <w:spacing w:val="40"/>
          <w:sz w:val="24"/>
          <w:szCs w:val="24"/>
          <w:highlight w:val="yellow"/>
        </w:rPr>
        <w:t xml:space="preserve"> (NCCMT) Government Portfolio</w:t>
      </w:r>
      <w:r w:rsidRPr="004B0DA6">
        <w:rPr>
          <w:rFonts w:ascii="Times New Roman" w:hAnsi="Times New Roman" w:cs="Times New Roman"/>
          <w:sz w:val="24"/>
          <w:szCs w:val="24"/>
          <w:highlight w:val="yellow"/>
        </w:rPr>
        <w:t xml:space="preserve"> is an</w:t>
      </w:r>
      <w:r w:rsidRPr="004B0DA6">
        <w:rPr>
          <w:rFonts w:ascii="Times New Roman" w:hAnsi="Times New Roman" w:cs="Times New Roman"/>
          <w:spacing w:val="40"/>
          <w:sz w:val="24"/>
          <w:szCs w:val="24"/>
          <w:highlight w:val="yellow"/>
        </w:rPr>
        <w:t xml:space="preserve"> </w:t>
      </w:r>
      <w:r w:rsidRPr="004B0DA6">
        <w:rPr>
          <w:rFonts w:ascii="Times New Roman" w:hAnsi="Times New Roman" w:cs="Times New Roman"/>
          <w:sz w:val="24"/>
          <w:szCs w:val="24"/>
          <w:highlight w:val="yellow"/>
        </w:rPr>
        <w:t>SEC- registered money market mutual fund</w:t>
      </w:r>
      <w:r w:rsidRPr="004B0DA6">
        <w:rPr>
          <w:rFonts w:ascii="Times New Roman" w:hAnsi="Times New Roman" w:cs="Times New Roman"/>
          <w:spacing w:val="26"/>
          <w:sz w:val="24"/>
          <w:szCs w:val="24"/>
          <w:highlight w:val="yellow"/>
        </w:rPr>
        <w:t xml:space="preserve"> that </w:t>
      </w:r>
      <w:r w:rsidRPr="004B0DA6">
        <w:rPr>
          <w:rFonts w:ascii="Times New Roman" w:hAnsi="Times New Roman" w:cs="Times New Roman"/>
          <w:sz w:val="24"/>
          <w:szCs w:val="24"/>
          <w:highlight w:val="yellow"/>
        </w:rPr>
        <w:t>is</w:t>
      </w:r>
      <w:r w:rsidRPr="004B0DA6">
        <w:rPr>
          <w:rFonts w:ascii="Times New Roman" w:hAnsi="Times New Roman" w:cs="Times New Roman"/>
          <w:spacing w:val="26"/>
          <w:sz w:val="24"/>
          <w:szCs w:val="24"/>
          <w:highlight w:val="yellow"/>
        </w:rPr>
        <w:t xml:space="preserve"> </w:t>
      </w:r>
      <w:r w:rsidR="007E63B0" w:rsidRPr="004B0DA6">
        <w:rPr>
          <w:rFonts w:ascii="Times New Roman" w:hAnsi="Times New Roman" w:cs="Times New Roman"/>
          <w:spacing w:val="26"/>
          <w:sz w:val="24"/>
          <w:szCs w:val="24"/>
          <w:highlight w:val="yellow"/>
        </w:rPr>
        <w:t xml:space="preserve">currently </w:t>
      </w:r>
      <w:r w:rsidRPr="004B0DA6">
        <w:rPr>
          <w:rFonts w:ascii="Times New Roman" w:hAnsi="Times New Roman" w:cs="Times New Roman"/>
          <w:spacing w:val="26"/>
          <w:sz w:val="24"/>
          <w:szCs w:val="24"/>
          <w:highlight w:val="yellow"/>
        </w:rPr>
        <w:t>certified by the Local Government Commission under the provisions of</w:t>
      </w:r>
      <w:r w:rsidRPr="004B0DA6">
        <w:rPr>
          <w:rFonts w:ascii="Times New Roman" w:hAnsi="Times New Roman" w:cs="Times New Roman"/>
          <w:sz w:val="24"/>
          <w:szCs w:val="24"/>
          <w:highlight w:val="yellow"/>
        </w:rPr>
        <w:t xml:space="preserve"> G.S.</w:t>
      </w:r>
      <w:r w:rsidRPr="004B0DA6">
        <w:rPr>
          <w:rFonts w:ascii="Times New Roman" w:hAnsi="Times New Roman" w:cs="Times New Roman"/>
          <w:spacing w:val="26"/>
          <w:sz w:val="24"/>
          <w:szCs w:val="24"/>
          <w:highlight w:val="yellow"/>
        </w:rPr>
        <w:t xml:space="preserve"> </w:t>
      </w:r>
      <w:r w:rsidRPr="004B0DA6">
        <w:rPr>
          <w:rFonts w:ascii="Times New Roman" w:hAnsi="Times New Roman" w:cs="Times New Roman"/>
          <w:sz w:val="24"/>
          <w:szCs w:val="24"/>
          <w:highlight w:val="yellow"/>
        </w:rPr>
        <w:t>159-30(c)(8) and the North Carolina Administrative Code.</w:t>
      </w:r>
      <w:r w:rsidRPr="004B0DA6">
        <w:rPr>
          <w:rFonts w:ascii="Times New Roman" w:hAnsi="Times New Roman" w:cs="Times New Roman"/>
          <w:spacing w:val="80"/>
          <w:sz w:val="24"/>
          <w:szCs w:val="24"/>
          <w:highlight w:val="yellow"/>
        </w:rPr>
        <w:t xml:space="preserve"> </w:t>
      </w:r>
      <w:r w:rsidRPr="004B0DA6">
        <w:rPr>
          <w:rFonts w:ascii="Times New Roman" w:hAnsi="Times New Roman" w:cs="Times New Roman"/>
          <w:sz w:val="24"/>
          <w:szCs w:val="24"/>
          <w:highlight w:val="yellow"/>
        </w:rPr>
        <w:t>The Government Portfolio</w:t>
      </w:r>
      <w:r w:rsidRPr="004B0DA6">
        <w:rPr>
          <w:rFonts w:ascii="Times New Roman" w:hAnsi="Times New Roman" w:cs="Times New Roman"/>
          <w:spacing w:val="35"/>
          <w:sz w:val="24"/>
          <w:szCs w:val="24"/>
          <w:highlight w:val="yellow"/>
        </w:rPr>
        <w:t xml:space="preserve"> </w:t>
      </w:r>
      <w:r w:rsidRPr="004B0DA6">
        <w:rPr>
          <w:rFonts w:ascii="Times New Roman" w:hAnsi="Times New Roman" w:cs="Times New Roman"/>
          <w:sz w:val="24"/>
          <w:szCs w:val="24"/>
          <w:highlight w:val="yellow"/>
        </w:rPr>
        <w:t>is</w:t>
      </w:r>
      <w:r w:rsidRPr="004B0DA6">
        <w:rPr>
          <w:rFonts w:ascii="Times New Roman" w:hAnsi="Times New Roman" w:cs="Times New Roman"/>
          <w:spacing w:val="38"/>
          <w:sz w:val="24"/>
          <w:szCs w:val="24"/>
          <w:highlight w:val="yellow"/>
        </w:rPr>
        <w:t xml:space="preserve"> </w:t>
      </w:r>
      <w:r w:rsidRPr="004B0DA6">
        <w:rPr>
          <w:rFonts w:ascii="Times New Roman" w:hAnsi="Times New Roman" w:cs="Times New Roman"/>
          <w:sz w:val="24"/>
          <w:szCs w:val="24"/>
          <w:highlight w:val="yellow"/>
        </w:rPr>
        <w:t>a</w:t>
      </w:r>
      <w:r w:rsidRPr="004B0DA6">
        <w:rPr>
          <w:rFonts w:ascii="Times New Roman" w:hAnsi="Times New Roman" w:cs="Times New Roman"/>
          <w:spacing w:val="34"/>
          <w:sz w:val="24"/>
          <w:szCs w:val="24"/>
          <w:highlight w:val="yellow"/>
        </w:rPr>
        <w:t xml:space="preserve"> </w:t>
      </w:r>
      <w:r w:rsidRPr="004B0DA6">
        <w:rPr>
          <w:rFonts w:ascii="Times New Roman" w:hAnsi="Times New Roman" w:cs="Times New Roman"/>
          <w:sz w:val="24"/>
          <w:szCs w:val="24"/>
          <w:highlight w:val="yellow"/>
        </w:rPr>
        <w:t>2a7</w:t>
      </w:r>
      <w:r w:rsidRPr="004B0DA6">
        <w:rPr>
          <w:rFonts w:ascii="Times New Roman" w:hAnsi="Times New Roman" w:cs="Times New Roman"/>
          <w:spacing w:val="34"/>
          <w:sz w:val="24"/>
          <w:szCs w:val="24"/>
          <w:highlight w:val="yellow"/>
        </w:rPr>
        <w:t xml:space="preserve"> </w:t>
      </w:r>
      <w:r w:rsidRPr="004B0DA6">
        <w:rPr>
          <w:rFonts w:ascii="Times New Roman" w:hAnsi="Times New Roman" w:cs="Times New Roman"/>
          <w:sz w:val="24"/>
          <w:szCs w:val="24"/>
          <w:highlight w:val="yellow"/>
        </w:rPr>
        <w:t>fund</w:t>
      </w:r>
      <w:r w:rsidRPr="004B0DA6">
        <w:rPr>
          <w:rFonts w:ascii="Times New Roman" w:hAnsi="Times New Roman" w:cs="Times New Roman"/>
          <w:spacing w:val="35"/>
          <w:sz w:val="24"/>
          <w:szCs w:val="24"/>
          <w:highlight w:val="yellow"/>
        </w:rPr>
        <w:t xml:space="preserve"> </w:t>
      </w:r>
      <w:r w:rsidRPr="004B0DA6">
        <w:rPr>
          <w:rFonts w:ascii="Times New Roman" w:hAnsi="Times New Roman" w:cs="Times New Roman"/>
          <w:sz w:val="24"/>
          <w:szCs w:val="24"/>
          <w:highlight w:val="yellow"/>
        </w:rPr>
        <w:t>that</w:t>
      </w:r>
      <w:r w:rsidRPr="004B0DA6">
        <w:rPr>
          <w:rFonts w:ascii="Times New Roman" w:hAnsi="Times New Roman" w:cs="Times New Roman"/>
          <w:spacing w:val="35"/>
          <w:sz w:val="24"/>
          <w:szCs w:val="24"/>
          <w:highlight w:val="yellow"/>
        </w:rPr>
        <w:t xml:space="preserve"> </w:t>
      </w:r>
      <w:r w:rsidRPr="004B0DA6">
        <w:rPr>
          <w:rFonts w:ascii="Times New Roman" w:hAnsi="Times New Roman" w:cs="Times New Roman"/>
          <w:sz w:val="24"/>
          <w:szCs w:val="24"/>
          <w:highlight w:val="yellow"/>
        </w:rPr>
        <w:t>invests</w:t>
      </w:r>
      <w:r w:rsidRPr="004B0DA6">
        <w:rPr>
          <w:rFonts w:ascii="Times New Roman" w:hAnsi="Times New Roman" w:cs="Times New Roman"/>
          <w:spacing w:val="35"/>
          <w:sz w:val="24"/>
          <w:szCs w:val="24"/>
          <w:highlight w:val="yellow"/>
        </w:rPr>
        <w:t xml:space="preserve"> </w:t>
      </w:r>
      <w:r w:rsidRPr="004B0DA6">
        <w:rPr>
          <w:rFonts w:ascii="Times New Roman" w:hAnsi="Times New Roman" w:cs="Times New Roman"/>
          <w:sz w:val="24"/>
          <w:szCs w:val="24"/>
          <w:highlight w:val="yellow"/>
        </w:rPr>
        <w:t>in</w:t>
      </w:r>
      <w:r w:rsidRPr="004B0DA6">
        <w:rPr>
          <w:rFonts w:ascii="Times New Roman" w:hAnsi="Times New Roman" w:cs="Times New Roman"/>
          <w:spacing w:val="34"/>
          <w:sz w:val="24"/>
          <w:szCs w:val="24"/>
          <w:highlight w:val="yellow"/>
        </w:rPr>
        <w:t xml:space="preserve"> </w:t>
      </w:r>
      <w:r w:rsidRPr="004B0DA6">
        <w:rPr>
          <w:rFonts w:ascii="Times New Roman" w:hAnsi="Times New Roman" w:cs="Times New Roman"/>
          <w:sz w:val="24"/>
          <w:szCs w:val="24"/>
          <w:highlight w:val="yellow"/>
        </w:rPr>
        <w:t>treasuries</w:t>
      </w:r>
      <w:r w:rsidRPr="004B0DA6">
        <w:rPr>
          <w:rFonts w:ascii="Times New Roman" w:hAnsi="Times New Roman" w:cs="Times New Roman"/>
          <w:spacing w:val="36"/>
          <w:sz w:val="24"/>
          <w:szCs w:val="24"/>
          <w:highlight w:val="yellow"/>
        </w:rPr>
        <w:t>,</w:t>
      </w:r>
      <w:r w:rsidRPr="004B0DA6">
        <w:rPr>
          <w:rFonts w:ascii="Times New Roman" w:hAnsi="Times New Roman" w:cs="Times New Roman"/>
          <w:spacing w:val="35"/>
          <w:sz w:val="24"/>
          <w:szCs w:val="24"/>
          <w:highlight w:val="yellow"/>
        </w:rPr>
        <w:t xml:space="preserve"> </w:t>
      </w:r>
      <w:r w:rsidRPr="004B0DA6">
        <w:rPr>
          <w:rFonts w:ascii="Times New Roman" w:hAnsi="Times New Roman" w:cs="Times New Roman"/>
          <w:sz w:val="24"/>
          <w:szCs w:val="24"/>
          <w:highlight w:val="yellow"/>
        </w:rPr>
        <w:t>government</w:t>
      </w:r>
      <w:r w:rsidRPr="004B0DA6">
        <w:rPr>
          <w:rFonts w:ascii="Times New Roman" w:hAnsi="Times New Roman" w:cs="Times New Roman"/>
          <w:spacing w:val="38"/>
          <w:sz w:val="24"/>
          <w:szCs w:val="24"/>
          <w:highlight w:val="yellow"/>
        </w:rPr>
        <w:t xml:space="preserve"> </w:t>
      </w:r>
      <w:r w:rsidRPr="004B0DA6">
        <w:rPr>
          <w:rFonts w:ascii="Times New Roman" w:hAnsi="Times New Roman" w:cs="Times New Roman"/>
          <w:sz w:val="24"/>
          <w:szCs w:val="24"/>
          <w:highlight w:val="yellow"/>
        </w:rPr>
        <w:t>agencies, and repurchase agreements collateralized by treasuries.</w:t>
      </w:r>
      <w:r w:rsidRPr="004B0DA6">
        <w:rPr>
          <w:rFonts w:ascii="Times New Roman" w:hAnsi="Times New Roman" w:cs="Times New Roman"/>
          <w:spacing w:val="35"/>
          <w:sz w:val="24"/>
          <w:szCs w:val="24"/>
          <w:highlight w:val="yellow"/>
        </w:rPr>
        <w:t xml:space="preserve"> </w:t>
      </w:r>
      <w:r w:rsidRPr="004B0DA6">
        <w:rPr>
          <w:rFonts w:ascii="Times New Roman" w:hAnsi="Times New Roman" w:cs="Times New Roman"/>
          <w:sz w:val="24"/>
          <w:szCs w:val="24"/>
          <w:highlight w:val="yellow"/>
        </w:rPr>
        <w:t> It</w:t>
      </w:r>
      <w:r w:rsidRPr="004B0DA6">
        <w:rPr>
          <w:rFonts w:ascii="Times New Roman" w:hAnsi="Times New Roman" w:cs="Times New Roman"/>
          <w:spacing w:val="35"/>
          <w:sz w:val="24"/>
          <w:szCs w:val="24"/>
          <w:highlight w:val="yellow"/>
        </w:rPr>
        <w:t xml:space="preserve"> </w:t>
      </w:r>
      <w:r w:rsidRPr="004B0DA6">
        <w:rPr>
          <w:rFonts w:ascii="Times New Roman" w:hAnsi="Times New Roman" w:cs="Times New Roman"/>
          <w:sz w:val="24"/>
          <w:szCs w:val="24"/>
          <w:highlight w:val="yellow"/>
        </w:rPr>
        <w:t>is</w:t>
      </w:r>
      <w:r w:rsidRPr="004B0DA6">
        <w:rPr>
          <w:rFonts w:ascii="Times New Roman" w:hAnsi="Times New Roman" w:cs="Times New Roman"/>
          <w:spacing w:val="35"/>
          <w:sz w:val="24"/>
          <w:szCs w:val="24"/>
          <w:highlight w:val="yellow"/>
        </w:rPr>
        <w:t xml:space="preserve"> </w:t>
      </w:r>
      <w:r w:rsidRPr="004B0DA6">
        <w:rPr>
          <w:rFonts w:ascii="Times New Roman" w:hAnsi="Times New Roman" w:cs="Times New Roman"/>
          <w:sz w:val="24"/>
          <w:szCs w:val="24"/>
          <w:highlight w:val="yellow"/>
        </w:rPr>
        <w:t>rated AAAm</w:t>
      </w:r>
      <w:r w:rsidRPr="004B0DA6">
        <w:rPr>
          <w:rFonts w:ascii="Times New Roman" w:hAnsi="Times New Roman" w:cs="Times New Roman"/>
          <w:spacing w:val="80"/>
          <w:sz w:val="24"/>
          <w:szCs w:val="24"/>
          <w:highlight w:val="yellow"/>
        </w:rPr>
        <w:t xml:space="preserve"> </w:t>
      </w:r>
      <w:r w:rsidRPr="004B0DA6">
        <w:rPr>
          <w:rFonts w:ascii="Times New Roman" w:hAnsi="Times New Roman" w:cs="Times New Roman"/>
          <w:sz w:val="24"/>
          <w:szCs w:val="24"/>
          <w:highlight w:val="yellow"/>
        </w:rPr>
        <w:t>by</w:t>
      </w:r>
      <w:r w:rsidRPr="004B0DA6">
        <w:rPr>
          <w:rFonts w:ascii="Times New Roman" w:hAnsi="Times New Roman" w:cs="Times New Roman"/>
          <w:spacing w:val="80"/>
          <w:sz w:val="24"/>
          <w:szCs w:val="24"/>
          <w:highlight w:val="yellow"/>
        </w:rPr>
        <w:t xml:space="preserve"> </w:t>
      </w:r>
      <w:r w:rsidRPr="004B0DA6">
        <w:rPr>
          <w:rFonts w:ascii="Times New Roman" w:hAnsi="Times New Roman" w:cs="Times New Roman"/>
          <w:sz w:val="24"/>
          <w:szCs w:val="24"/>
          <w:highlight w:val="yellow"/>
        </w:rPr>
        <w:t>S&amp;P</w:t>
      </w:r>
      <w:r w:rsidRPr="004B0DA6">
        <w:rPr>
          <w:rFonts w:ascii="Times New Roman" w:hAnsi="Times New Roman" w:cs="Times New Roman"/>
          <w:spacing w:val="80"/>
          <w:sz w:val="24"/>
          <w:szCs w:val="24"/>
          <w:highlight w:val="yellow"/>
        </w:rPr>
        <w:t xml:space="preserve"> </w:t>
      </w:r>
      <w:r w:rsidRPr="004B0DA6">
        <w:rPr>
          <w:rFonts w:ascii="Times New Roman" w:hAnsi="Times New Roman" w:cs="Times New Roman"/>
          <w:sz w:val="24"/>
          <w:szCs w:val="24"/>
          <w:highlight w:val="yellow"/>
        </w:rPr>
        <w:t>and</w:t>
      </w:r>
      <w:r w:rsidRPr="004B0DA6">
        <w:rPr>
          <w:rFonts w:ascii="Times New Roman" w:hAnsi="Times New Roman" w:cs="Times New Roman"/>
          <w:spacing w:val="80"/>
          <w:sz w:val="24"/>
          <w:szCs w:val="24"/>
          <w:highlight w:val="yellow"/>
        </w:rPr>
        <w:t xml:space="preserve"> </w:t>
      </w:r>
      <w:r w:rsidRPr="004B0DA6">
        <w:rPr>
          <w:rFonts w:ascii="Times New Roman" w:hAnsi="Times New Roman" w:cs="Times New Roman"/>
          <w:sz w:val="24"/>
          <w:szCs w:val="24"/>
          <w:highlight w:val="yellow"/>
        </w:rPr>
        <w:t>AAA-mf</w:t>
      </w:r>
      <w:r w:rsidRPr="004B0DA6">
        <w:rPr>
          <w:rFonts w:ascii="Times New Roman" w:hAnsi="Times New Roman" w:cs="Times New Roman"/>
          <w:spacing w:val="80"/>
          <w:sz w:val="24"/>
          <w:szCs w:val="24"/>
          <w:highlight w:val="yellow"/>
        </w:rPr>
        <w:t xml:space="preserve"> </w:t>
      </w:r>
      <w:r w:rsidRPr="004B0DA6">
        <w:rPr>
          <w:rFonts w:ascii="Times New Roman" w:hAnsi="Times New Roman" w:cs="Times New Roman"/>
          <w:sz w:val="24"/>
          <w:szCs w:val="24"/>
          <w:highlight w:val="yellow"/>
        </w:rPr>
        <w:t>by</w:t>
      </w:r>
      <w:r w:rsidRPr="004B0DA6">
        <w:rPr>
          <w:rFonts w:ascii="Times New Roman" w:hAnsi="Times New Roman" w:cs="Times New Roman"/>
          <w:spacing w:val="80"/>
          <w:sz w:val="24"/>
          <w:szCs w:val="24"/>
          <w:highlight w:val="yellow"/>
        </w:rPr>
        <w:t xml:space="preserve"> </w:t>
      </w:r>
      <w:r w:rsidRPr="004B0DA6">
        <w:rPr>
          <w:rFonts w:ascii="Times New Roman" w:hAnsi="Times New Roman" w:cs="Times New Roman"/>
          <w:sz w:val="24"/>
          <w:szCs w:val="24"/>
          <w:highlight w:val="yellow"/>
        </w:rPr>
        <w:t>Moody's</w:t>
      </w:r>
      <w:r w:rsidRPr="004B0DA6">
        <w:rPr>
          <w:rFonts w:ascii="Times New Roman" w:hAnsi="Times New Roman" w:cs="Times New Roman"/>
          <w:spacing w:val="80"/>
          <w:sz w:val="24"/>
          <w:szCs w:val="24"/>
          <w:highlight w:val="yellow"/>
        </w:rPr>
        <w:t xml:space="preserve"> </w:t>
      </w:r>
      <w:r w:rsidRPr="004B0DA6">
        <w:rPr>
          <w:rFonts w:ascii="Times New Roman" w:hAnsi="Times New Roman" w:cs="Times New Roman"/>
          <w:sz w:val="24"/>
          <w:szCs w:val="24"/>
          <w:highlight w:val="yellow"/>
        </w:rPr>
        <w:t>Investor</w:t>
      </w:r>
      <w:r w:rsidRPr="004B0DA6">
        <w:rPr>
          <w:rFonts w:ascii="Times New Roman" w:hAnsi="Times New Roman" w:cs="Times New Roman"/>
          <w:spacing w:val="80"/>
          <w:sz w:val="24"/>
          <w:szCs w:val="24"/>
          <w:highlight w:val="yellow"/>
        </w:rPr>
        <w:t xml:space="preserve"> </w:t>
      </w:r>
      <w:r w:rsidRPr="004B0DA6">
        <w:rPr>
          <w:rFonts w:ascii="Times New Roman" w:hAnsi="Times New Roman" w:cs="Times New Roman"/>
          <w:sz w:val="24"/>
          <w:szCs w:val="24"/>
          <w:highlight w:val="yellow"/>
        </w:rPr>
        <w:t>Services and reported at fair value.</w:t>
      </w:r>
    </w:p>
    <w:p w14:paraId="1735F3E3" w14:textId="22B69639" w:rsidR="0056179C" w:rsidRPr="004B0DA6" w:rsidRDefault="0056179C" w:rsidP="0056179C">
      <w:pPr>
        <w:jc w:val="both"/>
        <w:rPr>
          <w:rFonts w:ascii="Times New Roman" w:hAnsi="Times New Roman" w:cs="Times New Roman"/>
          <w:sz w:val="24"/>
          <w:szCs w:val="24"/>
        </w:rPr>
      </w:pPr>
      <w:r w:rsidRPr="004B0DA6">
        <w:rPr>
          <w:rFonts w:ascii="Times New Roman" w:hAnsi="Times New Roman" w:cs="Times New Roman"/>
          <w:sz w:val="24"/>
          <w:szCs w:val="24"/>
        </w:rPr>
        <w:t>In accordance with State law, the City has invested in securities which are callable, and which provide for periodic interest rate increases in specific increments until maturity. These investments are reported at fair value as determined by quoted market prices.</w:t>
      </w:r>
    </w:p>
    <w:p w14:paraId="4646E784" w14:textId="35A5E801" w:rsidR="0056179C" w:rsidRPr="004B0DA6" w:rsidRDefault="0056179C" w:rsidP="00447731">
      <w:pPr>
        <w:pBdr>
          <w:top w:val="thinThickSmallGap" w:sz="24" w:space="1" w:color="auto"/>
          <w:left w:val="thinThickSmallGap" w:sz="24" w:space="4" w:color="auto"/>
          <w:bottom w:val="thinThickSmallGap" w:sz="24" w:space="0" w:color="auto"/>
          <w:right w:val="thinThickSmallGap" w:sz="24" w:space="4" w:color="auto"/>
        </w:pBdr>
        <w:jc w:val="both"/>
        <w:rPr>
          <w:rFonts w:ascii="Times New Roman" w:hAnsi="Times New Roman" w:cs="Times New Roman"/>
          <w:sz w:val="24"/>
          <w:szCs w:val="24"/>
        </w:rPr>
      </w:pPr>
      <w:bookmarkStart w:id="3" w:name="_Hlk140400363"/>
      <w:r w:rsidRPr="004B0DA6">
        <w:rPr>
          <w:rFonts w:ascii="Times New Roman" w:hAnsi="Times New Roman" w:cs="Times New Roman"/>
          <w:b/>
          <w:sz w:val="24"/>
          <w:szCs w:val="24"/>
        </w:rPr>
        <w:t>Note to Preparer:</w:t>
      </w:r>
      <w:r w:rsidRPr="004B0DA6">
        <w:rPr>
          <w:rFonts w:ascii="Times New Roman" w:hAnsi="Times New Roman" w:cs="Times New Roman"/>
          <w:sz w:val="24"/>
          <w:szCs w:val="24"/>
        </w:rPr>
        <w:t xml:space="preserve"> </w:t>
      </w:r>
      <w:r w:rsidR="00F75DE4" w:rsidRPr="004B0DA6">
        <w:rPr>
          <w:rFonts w:ascii="Times New Roman" w:hAnsi="Times New Roman" w:cs="Times New Roman"/>
          <w:sz w:val="24"/>
          <w:szCs w:val="24"/>
        </w:rPr>
        <w:t>If needed, s</w:t>
      </w:r>
      <w:r w:rsidRPr="004B0DA6">
        <w:rPr>
          <w:rFonts w:ascii="Times New Roman" w:hAnsi="Times New Roman" w:cs="Times New Roman"/>
          <w:sz w:val="24"/>
          <w:szCs w:val="24"/>
        </w:rPr>
        <w:t xml:space="preserve">pecific disclosures for the STIF, BIF and </w:t>
      </w:r>
      <w:r w:rsidR="0078372D" w:rsidRPr="004B0DA6">
        <w:rPr>
          <w:rFonts w:ascii="Times New Roman" w:hAnsi="Times New Roman" w:cs="Times New Roman"/>
          <w:sz w:val="24"/>
          <w:szCs w:val="24"/>
        </w:rPr>
        <w:t>EIF</w:t>
      </w:r>
      <w:r w:rsidRPr="004B0DA6">
        <w:rPr>
          <w:rFonts w:ascii="Times New Roman" w:hAnsi="Times New Roman" w:cs="Times New Roman"/>
          <w:sz w:val="24"/>
          <w:szCs w:val="24"/>
        </w:rPr>
        <w:t xml:space="preserve"> </w:t>
      </w:r>
      <w:r w:rsidR="00F75DE4" w:rsidRPr="004B0DA6">
        <w:rPr>
          <w:rFonts w:ascii="Times New Roman" w:hAnsi="Times New Roman" w:cs="Times New Roman"/>
          <w:sz w:val="24"/>
          <w:szCs w:val="24"/>
          <w:highlight w:val="yellow"/>
        </w:rPr>
        <w:t>are</w:t>
      </w:r>
      <w:r w:rsidR="002028A7" w:rsidRPr="004B0DA6">
        <w:rPr>
          <w:rFonts w:ascii="Times New Roman" w:hAnsi="Times New Roman" w:cs="Times New Roman"/>
          <w:sz w:val="24"/>
          <w:szCs w:val="24"/>
          <w:highlight w:val="yellow"/>
        </w:rPr>
        <w:t xml:space="preserve"> </w:t>
      </w:r>
      <w:r w:rsidR="00D8702A" w:rsidRPr="004B0DA6">
        <w:rPr>
          <w:rFonts w:ascii="Times New Roman" w:hAnsi="Times New Roman" w:cs="Times New Roman"/>
          <w:sz w:val="24"/>
          <w:szCs w:val="24"/>
          <w:highlight w:val="yellow"/>
        </w:rPr>
        <w:t xml:space="preserve">available </w:t>
      </w:r>
      <w:r w:rsidR="00C425E3" w:rsidRPr="004B0DA6">
        <w:rPr>
          <w:rFonts w:ascii="Times New Roman" w:hAnsi="Times New Roman" w:cs="Times New Roman"/>
          <w:sz w:val="24"/>
          <w:szCs w:val="24"/>
          <w:highlight w:val="yellow"/>
        </w:rPr>
        <w:t xml:space="preserve">on </w:t>
      </w:r>
      <w:r w:rsidRPr="004B0DA6">
        <w:rPr>
          <w:rFonts w:ascii="Times New Roman" w:hAnsi="Times New Roman" w:cs="Times New Roman"/>
          <w:sz w:val="24"/>
          <w:szCs w:val="24"/>
          <w:highlight w:val="yellow"/>
        </w:rPr>
        <w:t>the</w:t>
      </w:r>
      <w:r w:rsidR="003371BC" w:rsidRPr="004B0DA6">
        <w:rPr>
          <w:rFonts w:ascii="Times New Roman" w:hAnsi="Times New Roman" w:cs="Times New Roman"/>
          <w:sz w:val="24"/>
          <w:szCs w:val="24"/>
          <w:highlight w:val="yellow"/>
        </w:rPr>
        <w:t xml:space="preserve"> DST Website </w:t>
      </w:r>
      <w:r w:rsidR="001A654D" w:rsidRPr="004B0DA6">
        <w:rPr>
          <w:rFonts w:ascii="Times New Roman" w:hAnsi="Times New Roman" w:cs="Times New Roman"/>
          <w:sz w:val="24"/>
          <w:szCs w:val="24"/>
          <w:highlight w:val="yellow"/>
        </w:rPr>
        <w:t>titled</w:t>
      </w:r>
      <w:r w:rsidR="003371BC" w:rsidRPr="004B0DA6">
        <w:rPr>
          <w:rFonts w:ascii="Times New Roman" w:hAnsi="Times New Roman" w:cs="Times New Roman"/>
          <w:sz w:val="24"/>
          <w:szCs w:val="24"/>
        </w:rPr>
        <w:t xml:space="preserve"> </w:t>
      </w:r>
      <w:hyperlink r:id="rId13" w:history="1">
        <w:r w:rsidR="003371BC" w:rsidRPr="004B0DA6">
          <w:rPr>
            <w:rStyle w:val="Hyperlink"/>
            <w:rFonts w:ascii="Times New Roman" w:hAnsi="Times New Roman" w:cs="Times New Roman"/>
            <w:sz w:val="24"/>
            <w:szCs w:val="24"/>
          </w:rPr>
          <w:t>Memo #2025-02</w:t>
        </w:r>
      </w:hyperlink>
      <w:r w:rsidR="00F75DE4" w:rsidRPr="004B0DA6">
        <w:rPr>
          <w:rFonts w:ascii="Times New Roman" w:hAnsi="Times New Roman" w:cs="Times New Roman"/>
          <w:sz w:val="24"/>
          <w:szCs w:val="24"/>
        </w:rPr>
        <w:t xml:space="preserve"> </w:t>
      </w:r>
      <w:r w:rsidR="001A654D" w:rsidRPr="004B0DA6">
        <w:rPr>
          <w:rFonts w:ascii="Times New Roman" w:hAnsi="Times New Roman" w:cs="Times New Roman"/>
          <w:sz w:val="24"/>
          <w:szCs w:val="24"/>
        </w:rPr>
        <w:t>“</w:t>
      </w:r>
      <w:r w:rsidR="001A654D" w:rsidRPr="004B0DA6">
        <w:rPr>
          <w:rFonts w:ascii="Times New Roman" w:hAnsi="Times New Roman" w:cs="Times New Roman"/>
          <w:color w:val="000000"/>
          <w:sz w:val="24"/>
          <w:szCs w:val="24"/>
          <w:shd w:val="clear" w:color="auto" w:fill="FFFFFF"/>
        </w:rPr>
        <w:t xml:space="preserve">Retirement &amp; Investment Disclosures for Fiscal Year Ended June 30, </w:t>
      </w:r>
      <w:r w:rsidR="00A85B23" w:rsidRPr="004B0DA6">
        <w:rPr>
          <w:rFonts w:ascii="Times New Roman" w:hAnsi="Times New Roman" w:cs="Times New Roman"/>
          <w:color w:val="000000"/>
          <w:sz w:val="24"/>
          <w:szCs w:val="24"/>
          <w:shd w:val="clear" w:color="auto" w:fill="FFFFFF"/>
        </w:rPr>
        <w:t>202</w:t>
      </w:r>
      <w:r w:rsidR="004419FA" w:rsidRPr="004B0DA6">
        <w:rPr>
          <w:rFonts w:ascii="Times New Roman" w:hAnsi="Times New Roman" w:cs="Times New Roman"/>
          <w:color w:val="000000"/>
          <w:sz w:val="24"/>
          <w:szCs w:val="24"/>
          <w:shd w:val="clear" w:color="auto" w:fill="FFFFFF"/>
        </w:rPr>
        <w:t>4</w:t>
      </w:r>
      <w:r w:rsidR="001A654D" w:rsidRPr="004B0DA6">
        <w:rPr>
          <w:rFonts w:ascii="Times New Roman" w:hAnsi="Times New Roman" w:cs="Times New Roman"/>
          <w:color w:val="000000"/>
          <w:sz w:val="24"/>
          <w:szCs w:val="24"/>
          <w:shd w:val="clear" w:color="auto" w:fill="FFFFFF"/>
        </w:rPr>
        <w:t>.”</w:t>
      </w:r>
    </w:p>
    <w:bookmarkEnd w:id="3"/>
    <w:bookmarkEnd w:id="2"/>
    <w:p w14:paraId="27CB1476" w14:textId="77777777" w:rsidR="00D8702A" w:rsidRPr="004B0DA6" w:rsidRDefault="00D8702A" w:rsidP="007A1A19">
      <w:pPr>
        <w:spacing w:after="0"/>
        <w:jc w:val="both"/>
        <w:rPr>
          <w:rFonts w:ascii="Times New Roman" w:hAnsi="Times New Roman" w:cs="Times New Roman"/>
          <w:sz w:val="24"/>
          <w:szCs w:val="24"/>
        </w:rPr>
      </w:pPr>
    </w:p>
    <w:p w14:paraId="292C7D82" w14:textId="08FB3273" w:rsidR="0056179C" w:rsidRPr="004B0DA6" w:rsidRDefault="0056179C" w:rsidP="0056179C">
      <w:pPr>
        <w:spacing w:after="90"/>
        <w:jc w:val="both"/>
        <w:rPr>
          <w:rFonts w:ascii="Times New Roman" w:hAnsi="Times New Roman" w:cs="Times New Roman"/>
          <w:sz w:val="24"/>
          <w:szCs w:val="24"/>
        </w:rPr>
      </w:pPr>
      <w:r w:rsidRPr="004B0DA6">
        <w:rPr>
          <w:rFonts w:ascii="Times New Roman" w:hAnsi="Times New Roman" w:cs="Times New Roman"/>
          <w:sz w:val="24"/>
          <w:szCs w:val="24"/>
        </w:rPr>
        <w:t xml:space="preserve">2.  </w:t>
      </w:r>
      <w:r w:rsidRPr="004B0DA6">
        <w:rPr>
          <w:rFonts w:ascii="Times New Roman" w:hAnsi="Times New Roman" w:cs="Times New Roman"/>
          <w:sz w:val="24"/>
          <w:szCs w:val="24"/>
          <w:u w:val="single"/>
        </w:rPr>
        <w:t>Cash and Cash Equivalents</w:t>
      </w:r>
    </w:p>
    <w:p w14:paraId="2AD7B3CD" w14:textId="37A8C97F" w:rsidR="0056179C" w:rsidRPr="004B0DA6" w:rsidRDefault="0056179C" w:rsidP="0056179C">
      <w:pPr>
        <w:spacing w:after="90"/>
        <w:jc w:val="both"/>
        <w:rPr>
          <w:rFonts w:ascii="Times New Roman" w:hAnsi="Times New Roman" w:cs="Times New Roman"/>
          <w:sz w:val="24"/>
          <w:szCs w:val="24"/>
        </w:rPr>
      </w:pPr>
      <w:r w:rsidRPr="004B0DA6">
        <w:rPr>
          <w:rFonts w:ascii="Times New Roman" w:hAnsi="Times New Roman" w:cs="Times New Roman"/>
          <w:sz w:val="24"/>
          <w:szCs w:val="24"/>
        </w:rPr>
        <w:t>The City pools money from several funds to facilitate disbursement and investment and to maximize investment income and considers all cash and investments to be cash and cash equivalents.  The ABC Board considers all highly liquid investments (including restricted assets) with a maturity of three months or less when purchased to be cash and cash equivalents.</w:t>
      </w:r>
    </w:p>
    <w:p w14:paraId="30199591" w14:textId="1260F102" w:rsidR="0056179C" w:rsidRPr="004B0DA6" w:rsidRDefault="0056179C" w:rsidP="0056179C">
      <w:pPr>
        <w:jc w:val="both"/>
        <w:rPr>
          <w:rFonts w:ascii="Times New Roman" w:hAnsi="Times New Roman" w:cs="Times New Roman"/>
          <w:sz w:val="24"/>
          <w:szCs w:val="24"/>
        </w:rPr>
      </w:pPr>
    </w:p>
    <w:p w14:paraId="608BAA33" w14:textId="77777777" w:rsidR="0056179C" w:rsidRPr="004B0DA6" w:rsidRDefault="0056179C" w:rsidP="0056179C">
      <w:pPr>
        <w:spacing w:after="90"/>
        <w:jc w:val="both"/>
        <w:rPr>
          <w:rFonts w:ascii="Times New Roman" w:hAnsi="Times New Roman" w:cs="Times New Roman"/>
          <w:sz w:val="24"/>
          <w:szCs w:val="24"/>
          <w:u w:val="single"/>
        </w:rPr>
      </w:pPr>
      <w:r w:rsidRPr="004B0DA6">
        <w:rPr>
          <w:rFonts w:ascii="Times New Roman" w:hAnsi="Times New Roman" w:cs="Times New Roman"/>
          <w:sz w:val="24"/>
          <w:szCs w:val="24"/>
        </w:rPr>
        <w:t xml:space="preserve">3. </w:t>
      </w:r>
      <w:r w:rsidRPr="004B0DA6">
        <w:rPr>
          <w:rFonts w:ascii="Times New Roman" w:hAnsi="Times New Roman" w:cs="Times New Roman"/>
          <w:sz w:val="24"/>
          <w:szCs w:val="24"/>
          <w:u w:val="single"/>
        </w:rPr>
        <w:t>Restricted Assets</w:t>
      </w:r>
    </w:p>
    <w:p w14:paraId="690D4E27" w14:textId="5D336503" w:rsidR="0056179C" w:rsidRPr="004B0DA6" w:rsidRDefault="0056179C" w:rsidP="0056179C">
      <w:pPr>
        <w:spacing w:after="90"/>
        <w:jc w:val="both"/>
        <w:rPr>
          <w:rFonts w:ascii="Times New Roman" w:hAnsi="Times New Roman" w:cs="Times New Roman"/>
          <w:sz w:val="24"/>
          <w:szCs w:val="24"/>
        </w:rPr>
      </w:pPr>
      <w:r w:rsidRPr="004B0DA6">
        <w:rPr>
          <w:rFonts w:ascii="Times New Roman" w:hAnsi="Times New Roman" w:cs="Times New Roman"/>
          <w:sz w:val="24"/>
          <w:szCs w:val="24"/>
        </w:rPr>
        <w:t>The unexpended bond proceeds of Water and Sewer Fund serial bonds issued by the City are classified as restricted assets for the enterprise fund because their use is completely restricted to the purpose for which the bonds were originally issued.  Customer deposits held by the City before any services are supplied are restricted to the service for which the deposit was collected.  Money in the Economic Development Fund is classified as restricted assets because its use is restricted to the Economic Development Fund per NC G.S. Chapter 159, Article 3, Part 2. Powell Bill funds are also classified as restricted cash because they can be expended only for the purposes outlined in G.S. 136-41.1 through 136-41.4</w:t>
      </w:r>
    </w:p>
    <w:p w14:paraId="17B71D40" w14:textId="77777777" w:rsidR="00F9386B" w:rsidRPr="004B0DA6" w:rsidRDefault="00F9386B" w:rsidP="0056179C">
      <w:pPr>
        <w:spacing w:after="90"/>
        <w:jc w:val="both"/>
        <w:rPr>
          <w:rFonts w:ascii="Times New Roman" w:hAnsi="Times New Roman" w:cs="Times New Roman"/>
          <w:sz w:val="24"/>
          <w:szCs w:val="24"/>
        </w:rPr>
      </w:pPr>
    </w:p>
    <w:bookmarkStart w:id="4" w:name="_MON_1750958602"/>
    <w:bookmarkEnd w:id="4"/>
    <w:p w14:paraId="7444083D" w14:textId="4CBC6A03" w:rsidR="00F9386B" w:rsidRPr="004B0DA6" w:rsidRDefault="00F75DE4" w:rsidP="00A60A55">
      <w:pPr>
        <w:spacing w:after="90"/>
        <w:ind w:firstLine="720"/>
        <w:rPr>
          <w:rFonts w:ascii="Times New Roman" w:hAnsi="Times New Roman" w:cs="Times New Roman"/>
          <w:sz w:val="24"/>
          <w:szCs w:val="24"/>
        </w:rPr>
      </w:pPr>
      <w:r w:rsidRPr="004B0DA6">
        <w:rPr>
          <w:rFonts w:ascii="Times New Roman" w:hAnsi="Times New Roman" w:cs="Times New Roman"/>
          <w:sz w:val="24"/>
          <w:szCs w:val="24"/>
        </w:rPr>
        <w:object w:dxaOrig="7913" w:dyaOrig="4705" w14:anchorId="00E6A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237pt" o:ole="">
            <v:imagedata r:id="rId14" o:title=""/>
          </v:shape>
          <o:OLEObject Type="Embed" ProgID="Excel.Sheet.8" ShapeID="_x0000_i1025" DrawAspect="Content" ObjectID="_1793012020" r:id="rId15"/>
        </w:object>
      </w:r>
    </w:p>
    <w:p w14:paraId="387F9890" w14:textId="5E20D6BE" w:rsidR="0056179C" w:rsidRPr="004B0DA6" w:rsidRDefault="0056179C" w:rsidP="007A1A19">
      <w:pPr>
        <w:rPr>
          <w:rFonts w:ascii="Times New Roman" w:hAnsi="Times New Roman" w:cs="Times New Roman"/>
          <w:sz w:val="24"/>
          <w:szCs w:val="24"/>
        </w:rPr>
      </w:pPr>
      <w:r w:rsidRPr="004B0DA6">
        <w:rPr>
          <w:rFonts w:ascii="Times New Roman" w:hAnsi="Times New Roman" w:cs="Times New Roman"/>
          <w:sz w:val="24"/>
          <w:szCs w:val="24"/>
        </w:rPr>
        <w:t xml:space="preserve">4. </w:t>
      </w:r>
      <w:r w:rsidRPr="004B0DA6">
        <w:rPr>
          <w:rFonts w:ascii="Times New Roman" w:hAnsi="Times New Roman" w:cs="Times New Roman"/>
          <w:sz w:val="24"/>
          <w:szCs w:val="24"/>
          <w:u w:val="single"/>
        </w:rPr>
        <w:t>Ad Valorem Taxes Receivable</w:t>
      </w:r>
    </w:p>
    <w:p w14:paraId="4998A4DD" w14:textId="124AE3A0" w:rsidR="00AB6A39" w:rsidRPr="004B0DA6" w:rsidRDefault="0056179C" w:rsidP="00AB6A39">
      <w:pPr>
        <w:spacing w:after="90"/>
        <w:jc w:val="both"/>
        <w:rPr>
          <w:rFonts w:ascii="Times New Roman" w:hAnsi="Times New Roman" w:cs="Times New Roman"/>
          <w:sz w:val="24"/>
          <w:szCs w:val="24"/>
        </w:rPr>
      </w:pPr>
      <w:r w:rsidRPr="004B0DA6">
        <w:rPr>
          <w:rFonts w:ascii="Times New Roman" w:hAnsi="Times New Roman" w:cs="Times New Roman"/>
          <w:sz w:val="24"/>
          <w:szCs w:val="24"/>
        </w:rPr>
        <w:t>In accordance with State law [G.S. 105-347 and G.S. 159-13(a)], the City levies ad valorem taxes on property other than motor vehicles on July 1</w:t>
      </w:r>
      <w:r w:rsidRPr="004B0DA6">
        <w:rPr>
          <w:rFonts w:ascii="Times New Roman" w:hAnsi="Times New Roman" w:cs="Times New Roman"/>
          <w:sz w:val="24"/>
          <w:szCs w:val="24"/>
          <w:vertAlign w:val="superscript"/>
        </w:rPr>
        <w:t>st</w:t>
      </w:r>
      <w:r w:rsidRPr="004B0DA6">
        <w:rPr>
          <w:rFonts w:ascii="Times New Roman" w:hAnsi="Times New Roman" w:cs="Times New Roman"/>
          <w:sz w:val="24"/>
          <w:szCs w:val="24"/>
        </w:rPr>
        <w:t>, the beginning of the fiscal year.  The taxes are due on September 1</w:t>
      </w:r>
      <w:r w:rsidRPr="004B0DA6">
        <w:rPr>
          <w:rFonts w:ascii="Times New Roman" w:hAnsi="Times New Roman" w:cs="Times New Roman"/>
          <w:sz w:val="24"/>
          <w:szCs w:val="24"/>
          <w:vertAlign w:val="superscript"/>
        </w:rPr>
        <w:t>st</w:t>
      </w:r>
      <w:r w:rsidRPr="004B0DA6">
        <w:rPr>
          <w:rFonts w:ascii="Times New Roman" w:hAnsi="Times New Roman" w:cs="Times New Roman"/>
          <w:sz w:val="24"/>
          <w:szCs w:val="24"/>
        </w:rPr>
        <w:t xml:space="preserve"> (lien date); however, interest does not accrue until the following January 6</w:t>
      </w:r>
      <w:r w:rsidRPr="004B0DA6">
        <w:rPr>
          <w:rFonts w:ascii="Times New Roman" w:hAnsi="Times New Roman" w:cs="Times New Roman"/>
          <w:sz w:val="24"/>
          <w:szCs w:val="24"/>
          <w:vertAlign w:val="superscript"/>
        </w:rPr>
        <w:t>th</w:t>
      </w:r>
      <w:r w:rsidRPr="004B0DA6">
        <w:rPr>
          <w:rFonts w:ascii="Times New Roman" w:hAnsi="Times New Roman" w:cs="Times New Roman"/>
          <w:sz w:val="24"/>
          <w:szCs w:val="24"/>
        </w:rPr>
        <w:t>.  These taxes are based on the assessed values as of January 1, 20</w:t>
      </w:r>
      <w:r w:rsidR="003411A5" w:rsidRPr="004B0DA6">
        <w:rPr>
          <w:rFonts w:ascii="Times New Roman" w:hAnsi="Times New Roman" w:cs="Times New Roman"/>
          <w:sz w:val="24"/>
          <w:szCs w:val="24"/>
        </w:rPr>
        <w:t>__</w:t>
      </w:r>
      <w:r w:rsidRPr="004B0DA6">
        <w:rPr>
          <w:rFonts w:ascii="Times New Roman" w:hAnsi="Times New Roman" w:cs="Times New Roman"/>
          <w:sz w:val="24"/>
          <w:szCs w:val="24"/>
        </w:rPr>
        <w:t xml:space="preserve">.  As allowed by State law, the City has established a schedule of discounts that apply to taxes that are paid prior to the due date.  In the City’s General Fund, ad valorem tax revenues are reported net of such discounts.  </w:t>
      </w:r>
    </w:p>
    <w:p w14:paraId="68BE7D0D" w14:textId="77777777" w:rsidR="003411A5" w:rsidRPr="004B0DA6" w:rsidRDefault="003411A5" w:rsidP="00AB6A39">
      <w:pPr>
        <w:spacing w:after="90"/>
        <w:jc w:val="both"/>
        <w:rPr>
          <w:rFonts w:ascii="Times New Roman" w:hAnsi="Times New Roman" w:cs="Times New Roman"/>
          <w:sz w:val="24"/>
          <w:szCs w:val="24"/>
        </w:rPr>
      </w:pPr>
    </w:p>
    <w:p w14:paraId="021D627D" w14:textId="14D6AC8D" w:rsidR="003411A5" w:rsidRPr="004B0DA6" w:rsidRDefault="003411A5" w:rsidP="007A4AD5">
      <w:pPr>
        <w:pBdr>
          <w:top w:val="thickThinSmallGap" w:sz="24" w:space="1" w:color="auto"/>
          <w:left w:val="thickThinSmallGap" w:sz="24" w:space="4" w:color="auto"/>
          <w:bottom w:val="thinThickSmallGap" w:sz="24" w:space="1" w:color="auto"/>
          <w:right w:val="thinThickSmallGap" w:sz="24" w:space="4" w:color="auto"/>
        </w:pBdr>
        <w:spacing w:after="90"/>
        <w:jc w:val="both"/>
        <w:rPr>
          <w:rFonts w:ascii="Times New Roman" w:hAnsi="Times New Roman" w:cs="Times New Roman"/>
          <w:sz w:val="24"/>
          <w:szCs w:val="24"/>
        </w:rPr>
      </w:pPr>
      <w:r w:rsidRPr="004B0DA6">
        <w:rPr>
          <w:rFonts w:ascii="Times New Roman" w:hAnsi="Times New Roman" w:cs="Times New Roman"/>
          <w:sz w:val="24"/>
          <w:szCs w:val="24"/>
          <w:highlight w:val="yellow"/>
        </w:rPr>
        <w:t>Note to preparer – Modify the assessed value as of the date of the Units last revaluation date.</w:t>
      </w:r>
    </w:p>
    <w:p w14:paraId="250587D7" w14:textId="77777777" w:rsidR="00AB6A39" w:rsidRPr="004B0DA6" w:rsidRDefault="00AB6A39" w:rsidP="007A1A19">
      <w:pPr>
        <w:spacing w:after="0"/>
        <w:jc w:val="both"/>
        <w:rPr>
          <w:rFonts w:ascii="Times New Roman" w:hAnsi="Times New Roman" w:cs="Times New Roman"/>
          <w:sz w:val="24"/>
          <w:szCs w:val="24"/>
        </w:rPr>
      </w:pPr>
    </w:p>
    <w:p w14:paraId="3F27C0F8" w14:textId="7FF9963C" w:rsidR="0056179C" w:rsidRPr="004B0DA6" w:rsidRDefault="0056179C" w:rsidP="00AB6A39">
      <w:pPr>
        <w:spacing w:after="90"/>
        <w:jc w:val="both"/>
        <w:rPr>
          <w:rFonts w:ascii="Times New Roman" w:hAnsi="Times New Roman" w:cs="Times New Roman"/>
          <w:sz w:val="24"/>
          <w:szCs w:val="24"/>
        </w:rPr>
      </w:pPr>
      <w:r w:rsidRPr="004B0DA6">
        <w:rPr>
          <w:rFonts w:ascii="Times New Roman" w:hAnsi="Times New Roman" w:cs="Times New Roman"/>
          <w:sz w:val="24"/>
          <w:szCs w:val="24"/>
        </w:rPr>
        <w:t xml:space="preserve">5. </w:t>
      </w:r>
      <w:r w:rsidRPr="004B0DA6">
        <w:rPr>
          <w:rFonts w:ascii="Times New Roman" w:hAnsi="Times New Roman" w:cs="Times New Roman"/>
          <w:sz w:val="24"/>
          <w:szCs w:val="24"/>
          <w:u w:val="single"/>
        </w:rPr>
        <w:t>Allowances for Doubtful Accounts</w:t>
      </w:r>
    </w:p>
    <w:p w14:paraId="39175AC2" w14:textId="2E39F1E0" w:rsidR="00F75DE4" w:rsidRPr="004B0DA6" w:rsidRDefault="0056179C" w:rsidP="00F9386B">
      <w:pPr>
        <w:jc w:val="both"/>
        <w:rPr>
          <w:rFonts w:ascii="Times New Roman" w:hAnsi="Times New Roman" w:cs="Times New Roman"/>
          <w:sz w:val="24"/>
          <w:szCs w:val="24"/>
        </w:rPr>
      </w:pPr>
      <w:r w:rsidRPr="004B0DA6">
        <w:rPr>
          <w:rFonts w:ascii="Times New Roman" w:hAnsi="Times New Roman" w:cs="Times New Roman"/>
          <w:sz w:val="24"/>
          <w:szCs w:val="24"/>
        </w:rPr>
        <w:lastRenderedPageBreak/>
        <w:t xml:space="preserve">All receivables that historically experience uncollectible accounts are shown net of an allowance for doubtful accounts.  This amount is estimated by analyzing the percentage of receivables that were written off in prior years. </w:t>
      </w:r>
      <w:bookmarkStart w:id="5" w:name="_Hlk86313953"/>
    </w:p>
    <w:p w14:paraId="64CF7F26" w14:textId="6AA165C6" w:rsidR="0037269F" w:rsidRPr="004B0DA6" w:rsidRDefault="0037269F" w:rsidP="00F9386B">
      <w:pPr>
        <w:jc w:val="both"/>
        <w:rPr>
          <w:rFonts w:ascii="Times New Roman" w:hAnsi="Times New Roman" w:cs="Times New Roman"/>
          <w:sz w:val="24"/>
          <w:szCs w:val="24"/>
        </w:rPr>
      </w:pPr>
      <w:r w:rsidRPr="004B0DA6">
        <w:rPr>
          <w:rFonts w:ascii="Times New Roman" w:hAnsi="Times New Roman" w:cs="Times New Roman"/>
          <w:sz w:val="24"/>
          <w:szCs w:val="24"/>
        </w:rPr>
        <w:t xml:space="preserve">6. </w:t>
      </w:r>
      <w:bookmarkStart w:id="6" w:name="_Hlk91749019"/>
      <w:r w:rsidRPr="004B0DA6">
        <w:rPr>
          <w:rFonts w:ascii="Times New Roman" w:hAnsi="Times New Roman" w:cs="Times New Roman"/>
          <w:sz w:val="24"/>
          <w:szCs w:val="24"/>
          <w:u w:val="single"/>
        </w:rPr>
        <w:t>Lease</w:t>
      </w:r>
      <w:r w:rsidR="00006853" w:rsidRPr="004B0DA6">
        <w:rPr>
          <w:rFonts w:ascii="Times New Roman" w:hAnsi="Times New Roman" w:cs="Times New Roman"/>
          <w:sz w:val="24"/>
          <w:szCs w:val="24"/>
          <w:u w:val="single"/>
        </w:rPr>
        <w:t>s</w:t>
      </w:r>
      <w:r w:rsidRPr="004B0DA6">
        <w:rPr>
          <w:rFonts w:ascii="Times New Roman" w:hAnsi="Times New Roman" w:cs="Times New Roman"/>
          <w:sz w:val="24"/>
          <w:szCs w:val="24"/>
          <w:u w:val="single"/>
        </w:rPr>
        <w:t xml:space="preserve"> Receivable</w:t>
      </w:r>
    </w:p>
    <w:p w14:paraId="696F6DBA" w14:textId="4F19776A" w:rsidR="00716070" w:rsidRPr="004B0DA6" w:rsidRDefault="00716070" w:rsidP="00F9386B">
      <w:pPr>
        <w:jc w:val="both"/>
        <w:rPr>
          <w:rFonts w:ascii="Times New Roman" w:hAnsi="Times New Roman" w:cs="Times New Roman"/>
          <w:sz w:val="24"/>
          <w:szCs w:val="24"/>
        </w:rPr>
      </w:pPr>
      <w:r w:rsidRPr="004B0DA6">
        <w:rPr>
          <w:rFonts w:ascii="Times New Roman" w:hAnsi="Times New Roman" w:cs="Times New Roman"/>
          <w:sz w:val="24"/>
          <w:szCs w:val="24"/>
        </w:rPr>
        <w:t>The City’s lease</w:t>
      </w:r>
      <w:r w:rsidR="00006853" w:rsidRPr="004B0DA6">
        <w:rPr>
          <w:rFonts w:ascii="Times New Roman" w:hAnsi="Times New Roman" w:cs="Times New Roman"/>
          <w:sz w:val="24"/>
          <w:szCs w:val="24"/>
        </w:rPr>
        <w:t>s</w:t>
      </w:r>
      <w:r w:rsidRPr="004B0DA6">
        <w:rPr>
          <w:rFonts w:ascii="Times New Roman" w:hAnsi="Times New Roman" w:cs="Times New Roman"/>
          <w:sz w:val="24"/>
          <w:szCs w:val="24"/>
        </w:rPr>
        <w:t xml:space="preserve"> receivable </w:t>
      </w:r>
      <w:r w:rsidR="00006853" w:rsidRPr="004B0DA6">
        <w:rPr>
          <w:rFonts w:ascii="Times New Roman" w:hAnsi="Times New Roman" w:cs="Times New Roman"/>
          <w:sz w:val="24"/>
          <w:szCs w:val="24"/>
        </w:rPr>
        <w:t>are</w:t>
      </w:r>
      <w:r w:rsidRPr="004B0DA6">
        <w:rPr>
          <w:rFonts w:ascii="Times New Roman" w:hAnsi="Times New Roman" w:cs="Times New Roman"/>
          <w:sz w:val="24"/>
          <w:szCs w:val="24"/>
        </w:rPr>
        <w:t xml:space="preserve"> measured at the present value of lease payments expected to be received during the lease term.  Under the lease agreement, the City may receive variable lease payments that are dependent upon the lessee’s revenue.  The variable payments are recorded as an inflow of resources in the period th</w:t>
      </w:r>
      <w:r w:rsidR="00091BE9" w:rsidRPr="004B0DA6">
        <w:rPr>
          <w:rFonts w:ascii="Times New Roman" w:hAnsi="Times New Roman" w:cs="Times New Roman"/>
          <w:sz w:val="24"/>
          <w:szCs w:val="24"/>
        </w:rPr>
        <w:t>e</w:t>
      </w:r>
      <w:r w:rsidRPr="004B0DA6">
        <w:rPr>
          <w:rFonts w:ascii="Times New Roman" w:hAnsi="Times New Roman" w:cs="Times New Roman"/>
          <w:sz w:val="24"/>
          <w:szCs w:val="24"/>
        </w:rPr>
        <w:t xml:space="preserve"> payment is received.</w:t>
      </w:r>
    </w:p>
    <w:p w14:paraId="232EC9AB" w14:textId="03889188" w:rsidR="00ED525D" w:rsidRPr="004B0DA6" w:rsidRDefault="00ED525D" w:rsidP="00F9386B">
      <w:pPr>
        <w:jc w:val="both"/>
        <w:rPr>
          <w:rFonts w:ascii="Times New Roman" w:hAnsi="Times New Roman" w:cs="Times New Roman"/>
          <w:sz w:val="24"/>
          <w:szCs w:val="24"/>
        </w:rPr>
      </w:pPr>
      <w:r w:rsidRPr="004B0DA6">
        <w:rPr>
          <w:rFonts w:ascii="Times New Roman" w:hAnsi="Times New Roman" w:cs="Times New Roman"/>
          <w:sz w:val="24"/>
          <w:szCs w:val="24"/>
        </w:rPr>
        <w:t>A deferred inflow of resources is recorded for lease</w:t>
      </w:r>
      <w:r w:rsidR="00B07C48" w:rsidRPr="004B0DA6">
        <w:rPr>
          <w:rFonts w:ascii="Times New Roman" w:hAnsi="Times New Roman" w:cs="Times New Roman"/>
          <w:sz w:val="24"/>
          <w:szCs w:val="24"/>
        </w:rPr>
        <w:t>s</w:t>
      </w:r>
      <w:r w:rsidRPr="004B0DA6">
        <w:rPr>
          <w:rFonts w:ascii="Times New Roman" w:hAnsi="Times New Roman" w:cs="Times New Roman"/>
          <w:sz w:val="24"/>
          <w:szCs w:val="24"/>
        </w:rPr>
        <w:t xml:space="preserve">.  The deferred inflow of resources is recorded at the initiation of the lease </w:t>
      </w:r>
      <w:r w:rsidR="00BF2ED9" w:rsidRPr="004B0DA6">
        <w:rPr>
          <w:rFonts w:ascii="Times New Roman" w:hAnsi="Times New Roman" w:cs="Times New Roman"/>
          <w:sz w:val="24"/>
          <w:szCs w:val="24"/>
        </w:rPr>
        <w:t xml:space="preserve">in </w:t>
      </w:r>
      <w:r w:rsidRPr="004B0DA6">
        <w:rPr>
          <w:rFonts w:ascii="Times New Roman" w:hAnsi="Times New Roman" w:cs="Times New Roman"/>
          <w:sz w:val="24"/>
          <w:szCs w:val="24"/>
        </w:rPr>
        <w:t xml:space="preserve">an amount equal to the initial recording of the lease receivable.  The deferred inflow of resources is amortized on a straight-line basis over the term of the lease. </w:t>
      </w:r>
    </w:p>
    <w:bookmarkEnd w:id="5"/>
    <w:bookmarkEnd w:id="6"/>
    <w:p w14:paraId="7DB9DCD1" w14:textId="637E7DCD" w:rsidR="0056179C" w:rsidRPr="004B0DA6" w:rsidRDefault="0037269F" w:rsidP="0056179C">
      <w:pPr>
        <w:rPr>
          <w:rFonts w:ascii="Times New Roman" w:hAnsi="Times New Roman" w:cs="Times New Roman"/>
          <w:sz w:val="24"/>
          <w:szCs w:val="24"/>
        </w:rPr>
      </w:pPr>
      <w:r w:rsidRPr="004B0DA6">
        <w:rPr>
          <w:rFonts w:ascii="Times New Roman" w:hAnsi="Times New Roman" w:cs="Times New Roman"/>
          <w:sz w:val="24"/>
          <w:szCs w:val="24"/>
        </w:rPr>
        <w:t>7</w:t>
      </w:r>
      <w:r w:rsidR="0056179C" w:rsidRPr="004B0DA6">
        <w:rPr>
          <w:rFonts w:ascii="Times New Roman" w:hAnsi="Times New Roman" w:cs="Times New Roman"/>
          <w:sz w:val="24"/>
          <w:szCs w:val="24"/>
        </w:rPr>
        <w:t xml:space="preserve">. </w:t>
      </w:r>
      <w:r w:rsidR="0056179C" w:rsidRPr="004B0DA6">
        <w:rPr>
          <w:rFonts w:ascii="Times New Roman" w:hAnsi="Times New Roman" w:cs="Times New Roman"/>
          <w:sz w:val="24"/>
          <w:szCs w:val="24"/>
          <w:u w:val="single"/>
        </w:rPr>
        <w:t>Inventory and Prepaid Items</w:t>
      </w:r>
    </w:p>
    <w:p w14:paraId="21CAFD10" w14:textId="18A7A47E" w:rsidR="0056179C" w:rsidRPr="004B0DA6" w:rsidRDefault="0056179C" w:rsidP="0056179C">
      <w:pPr>
        <w:jc w:val="both"/>
        <w:rPr>
          <w:rFonts w:ascii="Times New Roman" w:hAnsi="Times New Roman" w:cs="Times New Roman"/>
          <w:sz w:val="24"/>
          <w:szCs w:val="24"/>
        </w:rPr>
      </w:pPr>
      <w:r w:rsidRPr="004B0DA6">
        <w:rPr>
          <w:rFonts w:ascii="Times New Roman" w:hAnsi="Times New Roman" w:cs="Times New Roman"/>
          <w:sz w:val="24"/>
          <w:szCs w:val="24"/>
        </w:rPr>
        <w:t>The inventories of the City and the ABC Board are valued at cost (first-in, first-out), which approximates market.  The City’s General Fund inventory consists of expendable supplies that are reco</w:t>
      </w:r>
      <w:r w:rsidR="0093117D" w:rsidRPr="004B0DA6">
        <w:rPr>
          <w:rFonts w:ascii="Times New Roman" w:hAnsi="Times New Roman" w:cs="Times New Roman"/>
          <w:sz w:val="24"/>
          <w:szCs w:val="24"/>
        </w:rPr>
        <w:t>gnized</w:t>
      </w:r>
      <w:r w:rsidRPr="004B0DA6">
        <w:rPr>
          <w:rFonts w:ascii="Times New Roman" w:hAnsi="Times New Roman" w:cs="Times New Roman"/>
          <w:sz w:val="24"/>
          <w:szCs w:val="24"/>
        </w:rPr>
        <w:t xml:space="preserve"> as expenditures when purchased.</w:t>
      </w:r>
      <w:r w:rsidR="005930B2" w:rsidRPr="004B0DA6">
        <w:rPr>
          <w:rFonts w:ascii="Times New Roman" w:hAnsi="Times New Roman" w:cs="Times New Roman"/>
          <w:sz w:val="24"/>
          <w:szCs w:val="24"/>
        </w:rPr>
        <w:t xml:space="preserve"> </w:t>
      </w:r>
      <w:r w:rsidR="00B858E3" w:rsidRPr="004B0DA6">
        <w:rPr>
          <w:rFonts w:ascii="Times New Roman" w:hAnsi="Times New Roman" w:cs="Times New Roman"/>
        </w:rPr>
        <w:t>If a significant amount of inventory is on hand at year end, expenditures are adjusted, and inventory is reported on the balance sheet in the governmental funds.</w:t>
      </w:r>
      <w:r w:rsidR="005930B2" w:rsidRPr="004B0DA6">
        <w:rPr>
          <w:rFonts w:ascii="Times New Roman" w:hAnsi="Times New Roman" w:cs="Times New Roman"/>
          <w:sz w:val="24"/>
          <w:szCs w:val="24"/>
        </w:rPr>
        <w:t xml:space="preserve"> However, in the Government-wide Statement Activities the cost of these inventories is expensed as the items are used. </w:t>
      </w:r>
    </w:p>
    <w:p w14:paraId="59255801" w14:textId="5E0B1D68" w:rsidR="0056179C" w:rsidRPr="004B0DA6" w:rsidRDefault="0056179C" w:rsidP="0056179C">
      <w:pPr>
        <w:jc w:val="both"/>
        <w:rPr>
          <w:rFonts w:ascii="Times New Roman" w:hAnsi="Times New Roman" w:cs="Times New Roman"/>
          <w:sz w:val="24"/>
          <w:szCs w:val="24"/>
        </w:rPr>
      </w:pPr>
      <w:r w:rsidRPr="004B0DA6">
        <w:rPr>
          <w:rFonts w:ascii="Times New Roman" w:hAnsi="Times New Roman" w:cs="Times New Roman"/>
          <w:sz w:val="24"/>
          <w:szCs w:val="24"/>
        </w:rPr>
        <w:t xml:space="preserve">The inventories of the City’s enterprise </w:t>
      </w:r>
      <w:r w:rsidR="0078372D" w:rsidRPr="004B0DA6">
        <w:rPr>
          <w:rFonts w:ascii="Times New Roman" w:hAnsi="Times New Roman" w:cs="Times New Roman"/>
          <w:sz w:val="24"/>
          <w:szCs w:val="24"/>
        </w:rPr>
        <w:t>fund</w:t>
      </w:r>
      <w:r w:rsidRPr="004B0DA6">
        <w:rPr>
          <w:rFonts w:ascii="Times New Roman" w:hAnsi="Times New Roman" w:cs="Times New Roman"/>
          <w:sz w:val="24"/>
          <w:szCs w:val="24"/>
        </w:rPr>
        <w:t>, and those of the ABC Board consist of materials and supplies held for subsequent use.  The cost of these inventories is expensed when consumed rather than when purchased.</w:t>
      </w:r>
    </w:p>
    <w:p w14:paraId="5853A9FA" w14:textId="2AA12ECB" w:rsidR="002E7350" w:rsidRPr="004B0DA6" w:rsidRDefault="0056179C" w:rsidP="00A4268D">
      <w:pPr>
        <w:jc w:val="both"/>
        <w:rPr>
          <w:rFonts w:ascii="Times New Roman" w:hAnsi="Times New Roman" w:cs="Times New Roman"/>
          <w:sz w:val="24"/>
          <w:szCs w:val="24"/>
        </w:rPr>
      </w:pPr>
      <w:r w:rsidRPr="004B0DA6">
        <w:rPr>
          <w:rFonts w:ascii="Times New Roman" w:hAnsi="Times New Roman" w:cs="Times New Roman"/>
          <w:sz w:val="24"/>
          <w:szCs w:val="24"/>
        </w:rPr>
        <w:t>Certain payments to vendors reflect costs applicable to future accounting periods and are recorded as prepaid items in both government-wide and fund financial statements and expensed as the items are used</w:t>
      </w:r>
      <w:r w:rsidR="00A4268D" w:rsidRPr="004B0DA6">
        <w:rPr>
          <w:rFonts w:ascii="Times New Roman" w:hAnsi="Times New Roman" w:cs="Times New Roman"/>
          <w:sz w:val="24"/>
          <w:szCs w:val="24"/>
        </w:rPr>
        <w:t>.</w:t>
      </w:r>
    </w:p>
    <w:p w14:paraId="320367BC" w14:textId="371942DF" w:rsidR="0056179C" w:rsidRPr="004B0DA6" w:rsidRDefault="00F75DE4" w:rsidP="007A4AD5">
      <w:pPr>
        <w:jc w:val="both"/>
        <w:rPr>
          <w:rFonts w:ascii="Times New Roman" w:hAnsi="Times New Roman" w:cs="Times New Roman"/>
          <w:sz w:val="24"/>
          <w:szCs w:val="24"/>
        </w:rPr>
      </w:pPr>
      <w:r w:rsidRPr="004B0DA6">
        <w:rPr>
          <w:rFonts w:ascii="Times New Roman" w:hAnsi="Times New Roman" w:cs="Times New Roman"/>
          <w:noProof/>
          <w:sz w:val="24"/>
          <w:szCs w:val="24"/>
          <w:bdr w:val="thickThinSmallGap" w:sz="24" w:space="0" w:color="auto" w:frame="1"/>
        </w:rPr>
        <w:drawing>
          <wp:inline distT="0" distB="0" distL="0" distR="0" wp14:anchorId="7B688870" wp14:editId="047A815B">
            <wp:extent cx="6191885" cy="466725"/>
            <wp:effectExtent l="0" t="0" r="0" b="0"/>
            <wp:docPr id="1110062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885" cy="466725"/>
                    </a:xfrm>
                    <a:prstGeom prst="rect">
                      <a:avLst/>
                    </a:prstGeom>
                    <a:noFill/>
                  </pic:spPr>
                </pic:pic>
              </a:graphicData>
            </a:graphic>
          </wp:inline>
        </w:drawing>
      </w:r>
      <w:r w:rsidRPr="004B0DA6">
        <w:rPr>
          <w:rFonts w:ascii="Times New Roman" w:hAnsi="Times New Roman" w:cs="Times New Roman"/>
          <w:sz w:val="24"/>
          <w:szCs w:val="24"/>
        </w:rPr>
        <w:br/>
      </w:r>
      <w:r w:rsidR="0037269F" w:rsidRPr="004B0DA6">
        <w:rPr>
          <w:rFonts w:ascii="Times New Roman" w:hAnsi="Times New Roman" w:cs="Times New Roman"/>
          <w:sz w:val="24"/>
          <w:szCs w:val="24"/>
        </w:rPr>
        <w:t>8</w:t>
      </w:r>
      <w:r w:rsidR="0056179C" w:rsidRPr="004B0DA6">
        <w:rPr>
          <w:rFonts w:ascii="Times New Roman" w:hAnsi="Times New Roman" w:cs="Times New Roman"/>
          <w:sz w:val="24"/>
          <w:szCs w:val="24"/>
        </w:rPr>
        <w:t xml:space="preserve">. </w:t>
      </w:r>
      <w:r w:rsidR="0056179C" w:rsidRPr="004B0DA6">
        <w:rPr>
          <w:rFonts w:ascii="Times New Roman" w:hAnsi="Times New Roman" w:cs="Times New Roman"/>
          <w:sz w:val="24"/>
          <w:szCs w:val="24"/>
          <w:u w:val="single"/>
        </w:rPr>
        <w:t>Capital Assets</w:t>
      </w:r>
    </w:p>
    <w:p w14:paraId="5890727D" w14:textId="5F274272" w:rsidR="007A1A19" w:rsidRPr="004B0DA6" w:rsidRDefault="0056179C" w:rsidP="00FB5A08">
      <w:pPr>
        <w:jc w:val="both"/>
        <w:rPr>
          <w:rFonts w:ascii="Times New Roman" w:hAnsi="Times New Roman" w:cs="Times New Roman"/>
          <w:sz w:val="24"/>
          <w:highlight w:val="yellow"/>
        </w:rPr>
      </w:pPr>
      <w:r w:rsidRPr="004B0DA6">
        <w:rPr>
          <w:rFonts w:ascii="Times New Roman" w:hAnsi="Times New Roman" w:cs="Times New Roman"/>
          <w:sz w:val="24"/>
          <w:szCs w:val="24"/>
        </w:rPr>
        <w:t xml:space="preserve">Capital assets are defined by the government as assets with an initial, individual cost of more than a certain cost and an estimated useful life </w:t>
      </w:r>
      <w:proofErr w:type="gramStart"/>
      <w:r w:rsidRPr="004B0DA6">
        <w:rPr>
          <w:rFonts w:ascii="Times New Roman" w:hAnsi="Times New Roman" w:cs="Times New Roman"/>
          <w:sz w:val="24"/>
          <w:szCs w:val="24"/>
        </w:rPr>
        <w:t>in excess of</w:t>
      </w:r>
      <w:proofErr w:type="gramEnd"/>
      <w:r w:rsidRPr="004B0DA6">
        <w:rPr>
          <w:rFonts w:ascii="Times New Roman" w:hAnsi="Times New Roman" w:cs="Times New Roman"/>
          <w:sz w:val="24"/>
          <w:szCs w:val="24"/>
        </w:rPr>
        <w:t xml:space="preserve"> two years.  Minimum capitalization costs are as follows: land, $10,000; buildings, improvements, substations, lines, and other plant and distribution systems, $15,000; infrastructure, $20,000; equipment and furniture, $5,000; vehicles and motorized equipment, $10,000;</w:t>
      </w:r>
      <w:r w:rsidR="002E7350" w:rsidRPr="004B0DA6">
        <w:rPr>
          <w:rFonts w:ascii="Times New Roman" w:hAnsi="Times New Roman" w:cs="Times New Roman"/>
          <w:sz w:val="24"/>
          <w:szCs w:val="24"/>
        </w:rPr>
        <w:t xml:space="preserve"> </w:t>
      </w:r>
      <w:r w:rsidRPr="004B0DA6">
        <w:rPr>
          <w:rFonts w:ascii="Times New Roman" w:hAnsi="Times New Roman" w:cs="Times New Roman"/>
          <w:sz w:val="24"/>
          <w:szCs w:val="24"/>
        </w:rPr>
        <w:t>computer software</w:t>
      </w:r>
      <w:r w:rsidR="002E7350" w:rsidRPr="004B0DA6">
        <w:rPr>
          <w:rFonts w:ascii="Times New Roman" w:hAnsi="Times New Roman" w:cs="Times New Roman"/>
          <w:sz w:val="24"/>
          <w:szCs w:val="24"/>
        </w:rPr>
        <w:t>, $5,000;</w:t>
      </w:r>
      <w:r w:rsidRPr="004B0DA6">
        <w:rPr>
          <w:rFonts w:ascii="Times New Roman" w:hAnsi="Times New Roman" w:cs="Times New Roman"/>
          <w:sz w:val="24"/>
          <w:szCs w:val="24"/>
        </w:rPr>
        <w:t xml:space="preserve"> and computer equipment</w:t>
      </w:r>
      <w:r w:rsidR="002E7350" w:rsidRPr="004B0DA6">
        <w:rPr>
          <w:rFonts w:ascii="Times New Roman" w:hAnsi="Times New Roman" w:cs="Times New Roman"/>
          <w:sz w:val="24"/>
          <w:szCs w:val="24"/>
        </w:rPr>
        <w:t>,</w:t>
      </w:r>
      <w:r w:rsidRPr="004B0DA6">
        <w:rPr>
          <w:rFonts w:ascii="Times New Roman" w:hAnsi="Times New Roman" w:cs="Times New Roman"/>
          <w:sz w:val="24"/>
          <w:szCs w:val="24"/>
        </w:rPr>
        <w:t xml:space="preserve"> $500.  Donated capital assets received prior to June 30, 2015, are recorded at their estimated fair value at the date of donation.  Donated capital assets received after June 30, 2015, are recorded at acquisition value.  All other purchased or constructed capital assets are reported at cost or estimated historical cost. General infrastructure assets acquired prior to July 1, 2003, consist of the road </w:t>
      </w:r>
      <w:r w:rsidRPr="004B0DA6">
        <w:rPr>
          <w:rFonts w:ascii="Times New Roman" w:hAnsi="Times New Roman" w:cs="Times New Roman"/>
          <w:sz w:val="24"/>
          <w:szCs w:val="24"/>
        </w:rPr>
        <w:lastRenderedPageBreak/>
        <w:t xml:space="preserve">network and water and sewer system assets that were acquired or that received substantial improvements </w:t>
      </w:r>
      <w:proofErr w:type="gramStart"/>
      <w:r w:rsidRPr="004B0DA6">
        <w:rPr>
          <w:rFonts w:ascii="Times New Roman" w:hAnsi="Times New Roman" w:cs="Times New Roman"/>
          <w:sz w:val="24"/>
          <w:szCs w:val="24"/>
        </w:rPr>
        <w:t>subsequent to</w:t>
      </w:r>
      <w:proofErr w:type="gramEnd"/>
      <w:r w:rsidRPr="004B0DA6">
        <w:rPr>
          <w:rFonts w:ascii="Times New Roman" w:hAnsi="Times New Roman" w:cs="Times New Roman"/>
          <w:sz w:val="24"/>
          <w:szCs w:val="24"/>
        </w:rPr>
        <w:t xml:space="preserve"> July 1, 1980, and are reported at estimated historical cost using deflated replacement cost.  The cost of normal maintenance and repairs that do not add to the </w:t>
      </w:r>
      <w:r w:rsidR="00044697" w:rsidRPr="004B0DA6">
        <w:rPr>
          <w:rFonts w:ascii="Times New Roman" w:hAnsi="Times New Roman" w:cs="Times New Roman"/>
          <w:sz w:val="24"/>
          <w:szCs w:val="24"/>
        </w:rPr>
        <w:t>functionality</w:t>
      </w:r>
      <w:r w:rsidRPr="004B0DA6">
        <w:rPr>
          <w:rFonts w:ascii="Times New Roman" w:hAnsi="Times New Roman" w:cs="Times New Roman"/>
          <w:sz w:val="24"/>
          <w:szCs w:val="24"/>
        </w:rPr>
        <w:t xml:space="preserve"> of the asset or materially extend assets’ lives are not capitalized</w:t>
      </w:r>
      <w:r w:rsidR="00F9386B" w:rsidRPr="004B0DA6">
        <w:rPr>
          <w:rFonts w:ascii="Times New Roman" w:hAnsi="Times New Roman" w:cs="Times New Roman"/>
          <w:sz w:val="24"/>
          <w:szCs w:val="24"/>
        </w:rPr>
        <w:t>.</w:t>
      </w:r>
      <w:bookmarkStart w:id="7" w:name="_Hlk86330452"/>
    </w:p>
    <w:p w14:paraId="2B08ABD1" w14:textId="35E2CAF2" w:rsidR="00250F86" w:rsidRPr="004B0DA6" w:rsidRDefault="00FB5A08" w:rsidP="00FB5A08">
      <w:pPr>
        <w:jc w:val="both"/>
        <w:rPr>
          <w:rFonts w:ascii="Times New Roman" w:hAnsi="Times New Roman" w:cs="Times New Roman"/>
          <w:sz w:val="24"/>
        </w:rPr>
      </w:pPr>
      <w:r w:rsidRPr="004B0DA6">
        <w:rPr>
          <w:rFonts w:ascii="Times New Roman" w:hAnsi="Times New Roman" w:cs="Times New Roman"/>
          <w:sz w:val="24"/>
        </w:rPr>
        <w:t xml:space="preserve">The City’s capital assets also include certain right to use assets. These right to use assets arise in association with agreements where the City reports a lease (only applies when the City is the lessee) or agreements where the City reports an Information Technology (IT) Subscription in accordance with the requirements of GASB 87 and GASB 96, respectively.  </w:t>
      </w:r>
    </w:p>
    <w:p w14:paraId="0D8BA5DD" w14:textId="453A3307" w:rsidR="00FB5A08" w:rsidRPr="004B0DA6" w:rsidRDefault="00FB5A08" w:rsidP="00B15230">
      <w:pPr>
        <w:jc w:val="both"/>
        <w:rPr>
          <w:rFonts w:ascii="Times New Roman" w:hAnsi="Times New Roman" w:cs="Times New Roman"/>
          <w:sz w:val="24"/>
          <w:szCs w:val="24"/>
          <w:u w:val="single"/>
        </w:rPr>
      </w:pPr>
      <w:r w:rsidRPr="004B0DA6">
        <w:rPr>
          <w:rFonts w:ascii="Times New Roman" w:hAnsi="Times New Roman" w:cs="Times New Roman"/>
          <w:sz w:val="24"/>
        </w:rPr>
        <w:t xml:space="preserve">The right to use </w:t>
      </w:r>
      <w:r w:rsidR="005E5315" w:rsidRPr="004B0DA6">
        <w:rPr>
          <w:rFonts w:ascii="Times New Roman" w:hAnsi="Times New Roman" w:cs="Times New Roman"/>
          <w:sz w:val="24"/>
        </w:rPr>
        <w:t xml:space="preserve">lease </w:t>
      </w:r>
      <w:r w:rsidRPr="004B0DA6">
        <w:rPr>
          <w:rFonts w:ascii="Times New Roman" w:hAnsi="Times New Roman" w:cs="Times New Roman"/>
          <w:sz w:val="24"/>
        </w:rPr>
        <w:t xml:space="preserve">assets are initially measured at an amount equal to the initial measurement of the related lease liability plus any lease payments made </w:t>
      </w:r>
      <w:r w:rsidR="00182A8D" w:rsidRPr="004B0DA6">
        <w:rPr>
          <w:rFonts w:ascii="Times New Roman" w:hAnsi="Times New Roman" w:cs="Times New Roman"/>
          <w:sz w:val="24"/>
        </w:rPr>
        <w:t xml:space="preserve">at or </w:t>
      </w:r>
      <w:r w:rsidRPr="004B0DA6">
        <w:rPr>
          <w:rFonts w:ascii="Times New Roman" w:hAnsi="Times New Roman" w:cs="Times New Roman"/>
          <w:sz w:val="24"/>
        </w:rPr>
        <w:t>prior to the</w:t>
      </w:r>
      <w:r w:rsidR="005E5315" w:rsidRPr="004B0DA6">
        <w:rPr>
          <w:rFonts w:ascii="Times New Roman" w:hAnsi="Times New Roman" w:cs="Times New Roman"/>
          <w:sz w:val="24"/>
        </w:rPr>
        <w:t xml:space="preserve"> start of the</w:t>
      </w:r>
      <w:r w:rsidRPr="004B0DA6">
        <w:rPr>
          <w:rFonts w:ascii="Times New Roman" w:hAnsi="Times New Roman" w:cs="Times New Roman"/>
          <w:sz w:val="24"/>
        </w:rPr>
        <w:t xml:space="preserve"> lease term, less lease incentives</w:t>
      </w:r>
      <w:r w:rsidR="005E5315" w:rsidRPr="004B0DA6">
        <w:rPr>
          <w:rFonts w:ascii="Times New Roman" w:hAnsi="Times New Roman" w:cs="Times New Roman"/>
          <w:sz w:val="24"/>
        </w:rPr>
        <w:t xml:space="preserve"> received from the lessor </w:t>
      </w:r>
      <w:r w:rsidR="00182A8D" w:rsidRPr="004B0DA6">
        <w:rPr>
          <w:rFonts w:ascii="Times New Roman" w:hAnsi="Times New Roman" w:cs="Times New Roman"/>
          <w:sz w:val="24"/>
        </w:rPr>
        <w:t xml:space="preserve">at or </w:t>
      </w:r>
      <w:r w:rsidR="005E5315" w:rsidRPr="004B0DA6">
        <w:rPr>
          <w:rFonts w:ascii="Times New Roman" w:hAnsi="Times New Roman" w:cs="Times New Roman"/>
          <w:sz w:val="24"/>
        </w:rPr>
        <w:t>prior to the start of the lease term</w:t>
      </w:r>
      <w:r w:rsidRPr="004B0DA6">
        <w:rPr>
          <w:rFonts w:ascii="Times New Roman" w:hAnsi="Times New Roman" w:cs="Times New Roman"/>
          <w:sz w:val="24"/>
        </w:rPr>
        <w:t>, and plus ancillary charges necessary to place the lease</w:t>
      </w:r>
      <w:r w:rsidR="005E5315" w:rsidRPr="004B0DA6">
        <w:rPr>
          <w:rFonts w:ascii="Times New Roman" w:hAnsi="Times New Roman" w:cs="Times New Roman"/>
          <w:sz w:val="24"/>
        </w:rPr>
        <w:t xml:space="preserve"> asset</w:t>
      </w:r>
      <w:r w:rsidRPr="004B0DA6">
        <w:rPr>
          <w:rFonts w:ascii="Times New Roman" w:hAnsi="Times New Roman" w:cs="Times New Roman"/>
          <w:sz w:val="24"/>
        </w:rPr>
        <w:t xml:space="preserve"> into service.  The right to use </w:t>
      </w:r>
      <w:r w:rsidR="005E5315" w:rsidRPr="004B0DA6">
        <w:rPr>
          <w:rFonts w:ascii="Times New Roman" w:hAnsi="Times New Roman" w:cs="Times New Roman"/>
          <w:sz w:val="24"/>
        </w:rPr>
        <w:t xml:space="preserve">lease </w:t>
      </w:r>
      <w:r w:rsidRPr="004B0DA6">
        <w:rPr>
          <w:rFonts w:ascii="Times New Roman" w:hAnsi="Times New Roman" w:cs="Times New Roman"/>
          <w:sz w:val="24"/>
        </w:rPr>
        <w:t xml:space="preserve">assets are amortized on a </w:t>
      </w:r>
      <w:r w:rsidRPr="004B0DA6">
        <w:rPr>
          <w:rFonts w:ascii="Times New Roman" w:hAnsi="Times New Roman" w:cs="Times New Roman"/>
          <w:sz w:val="24"/>
          <w:szCs w:val="24"/>
        </w:rPr>
        <w:t>straight-line basis over the life of the related</w:t>
      </w:r>
      <w:r w:rsidR="00B15230" w:rsidRPr="004B0DA6">
        <w:rPr>
          <w:rFonts w:ascii="Times New Roman" w:hAnsi="Times New Roman" w:cs="Times New Roman"/>
          <w:sz w:val="24"/>
          <w:szCs w:val="24"/>
        </w:rPr>
        <w:t xml:space="preserve"> lease.</w:t>
      </w:r>
      <w:r w:rsidR="005E5315" w:rsidRPr="004B0DA6">
        <w:rPr>
          <w:rFonts w:ascii="Times New Roman" w:hAnsi="Times New Roman" w:cs="Times New Roman"/>
          <w:sz w:val="24"/>
          <w:szCs w:val="24"/>
          <w:u w:val="single"/>
        </w:rPr>
        <w:t xml:space="preserve"> </w:t>
      </w:r>
    </w:p>
    <w:bookmarkEnd w:id="7"/>
    <w:p w14:paraId="13E089AA" w14:textId="388517AD" w:rsidR="00FB5A08" w:rsidRPr="004B0DA6" w:rsidRDefault="00250F86" w:rsidP="00B15230">
      <w:pPr>
        <w:shd w:val="clear" w:color="auto" w:fill="FFFFFF"/>
        <w:spacing w:after="0" w:line="240" w:lineRule="auto"/>
        <w:jc w:val="both"/>
        <w:rPr>
          <w:rFonts w:ascii="Times New Roman" w:eastAsia="Times New Roman" w:hAnsi="Times New Roman" w:cs="Times New Roman"/>
          <w:color w:val="000000"/>
          <w:sz w:val="24"/>
          <w:szCs w:val="24"/>
        </w:rPr>
      </w:pPr>
      <w:r w:rsidRPr="004B0DA6">
        <w:rPr>
          <w:rFonts w:ascii="Times New Roman" w:eastAsia="Times New Roman" w:hAnsi="Times New Roman" w:cs="Times New Roman"/>
          <w:color w:val="000000"/>
          <w:sz w:val="24"/>
          <w:szCs w:val="24"/>
        </w:rPr>
        <w:t>The right to use IT subscription assets are initially measured at an amount equal</w:t>
      </w:r>
      <w:r w:rsidR="005B7174" w:rsidRPr="004B0DA6">
        <w:rPr>
          <w:rFonts w:ascii="Times New Roman" w:eastAsia="Times New Roman" w:hAnsi="Times New Roman" w:cs="Times New Roman"/>
          <w:color w:val="000000"/>
          <w:sz w:val="24"/>
          <w:szCs w:val="24"/>
        </w:rPr>
        <w:t xml:space="preserve"> to </w:t>
      </w:r>
      <w:r w:rsidRPr="004B0DA6">
        <w:rPr>
          <w:rFonts w:ascii="Times New Roman" w:eastAsia="Times New Roman" w:hAnsi="Times New Roman" w:cs="Times New Roman"/>
          <w:color w:val="000000"/>
          <w:sz w:val="24"/>
          <w:szCs w:val="24"/>
        </w:rPr>
        <w:t>the initial measurement of the subscription liability</w:t>
      </w:r>
      <w:r w:rsidR="005B7174" w:rsidRPr="004B0DA6">
        <w:rPr>
          <w:rFonts w:ascii="Times New Roman" w:eastAsia="Times New Roman" w:hAnsi="Times New Roman" w:cs="Times New Roman"/>
          <w:color w:val="000000"/>
          <w:sz w:val="24"/>
          <w:szCs w:val="24"/>
        </w:rPr>
        <w:t xml:space="preserve"> plus any subscription pa</w:t>
      </w:r>
      <w:r w:rsidRPr="004B0DA6">
        <w:rPr>
          <w:rFonts w:ascii="Times New Roman" w:eastAsia="Times New Roman" w:hAnsi="Times New Roman" w:cs="Times New Roman"/>
          <w:color w:val="000000"/>
          <w:sz w:val="24"/>
          <w:szCs w:val="24"/>
        </w:rPr>
        <w:t>yments made</w:t>
      </w:r>
      <w:r w:rsidR="005B7174" w:rsidRPr="004B0DA6">
        <w:rPr>
          <w:rFonts w:ascii="Times New Roman" w:eastAsia="Times New Roman" w:hAnsi="Times New Roman" w:cs="Times New Roman"/>
          <w:color w:val="000000"/>
          <w:sz w:val="24"/>
          <w:szCs w:val="24"/>
        </w:rPr>
        <w:t xml:space="preserve"> </w:t>
      </w:r>
      <w:r w:rsidR="00182A8D" w:rsidRPr="004B0DA6">
        <w:rPr>
          <w:rFonts w:ascii="Times New Roman" w:eastAsia="Times New Roman" w:hAnsi="Times New Roman" w:cs="Times New Roman"/>
          <w:color w:val="000000"/>
          <w:sz w:val="24"/>
          <w:szCs w:val="24"/>
        </w:rPr>
        <w:t>at</w:t>
      </w:r>
      <w:r w:rsidR="005B7174" w:rsidRPr="004B0DA6">
        <w:rPr>
          <w:rFonts w:ascii="Times New Roman" w:eastAsia="Times New Roman" w:hAnsi="Times New Roman" w:cs="Times New Roman"/>
          <w:color w:val="000000"/>
          <w:sz w:val="24"/>
          <w:szCs w:val="24"/>
        </w:rPr>
        <w:t xml:space="preserve"> the start</w:t>
      </w:r>
      <w:r w:rsidRPr="004B0DA6">
        <w:rPr>
          <w:rFonts w:ascii="Times New Roman" w:eastAsia="Times New Roman" w:hAnsi="Times New Roman" w:cs="Times New Roman"/>
          <w:color w:val="000000"/>
          <w:sz w:val="24"/>
          <w:szCs w:val="24"/>
        </w:rPr>
        <w:t xml:space="preserve"> of the subscription term,</w:t>
      </w:r>
      <w:r w:rsidR="00182A8D" w:rsidRPr="004B0DA6">
        <w:rPr>
          <w:rFonts w:ascii="Times New Roman" w:eastAsia="Times New Roman" w:hAnsi="Times New Roman" w:cs="Times New Roman"/>
          <w:color w:val="000000"/>
          <w:sz w:val="24"/>
          <w:szCs w:val="24"/>
        </w:rPr>
        <w:t xml:space="preserve"> if applicable,</w:t>
      </w:r>
      <w:r w:rsidRPr="004B0DA6">
        <w:rPr>
          <w:rFonts w:ascii="Times New Roman" w:eastAsia="Times New Roman" w:hAnsi="Times New Roman" w:cs="Times New Roman"/>
          <w:color w:val="000000"/>
          <w:sz w:val="24"/>
          <w:szCs w:val="24"/>
        </w:rPr>
        <w:t xml:space="preserve"> </w:t>
      </w:r>
      <w:r w:rsidR="005B7174" w:rsidRPr="004B0DA6">
        <w:rPr>
          <w:rFonts w:ascii="Times New Roman" w:eastAsia="Times New Roman" w:hAnsi="Times New Roman" w:cs="Times New Roman"/>
          <w:color w:val="000000"/>
          <w:sz w:val="24"/>
          <w:szCs w:val="24"/>
        </w:rPr>
        <w:t>plus c</w:t>
      </w:r>
      <w:r w:rsidRPr="004B0DA6">
        <w:rPr>
          <w:rFonts w:ascii="Times New Roman" w:eastAsia="Times New Roman" w:hAnsi="Times New Roman" w:cs="Times New Roman"/>
          <w:color w:val="000000"/>
          <w:sz w:val="24"/>
          <w:szCs w:val="24"/>
        </w:rPr>
        <w:t>apitalizable initial implementation costs</w:t>
      </w:r>
      <w:r w:rsidR="00997C94" w:rsidRPr="004B0DA6">
        <w:rPr>
          <w:rFonts w:ascii="Times New Roman" w:eastAsia="Times New Roman" w:hAnsi="Times New Roman" w:cs="Times New Roman"/>
          <w:color w:val="000000"/>
          <w:sz w:val="24"/>
          <w:szCs w:val="24"/>
        </w:rPr>
        <w:t xml:space="preserve"> </w:t>
      </w:r>
      <w:r w:rsidR="008210A6" w:rsidRPr="004B0DA6">
        <w:rPr>
          <w:rFonts w:ascii="Times New Roman" w:eastAsia="Times New Roman" w:hAnsi="Times New Roman" w:cs="Times New Roman"/>
          <w:color w:val="000000"/>
          <w:sz w:val="24"/>
          <w:szCs w:val="24"/>
        </w:rPr>
        <w:t xml:space="preserve">at </w:t>
      </w:r>
      <w:r w:rsidR="00997C94" w:rsidRPr="004B0DA6">
        <w:rPr>
          <w:rFonts w:ascii="Times New Roman" w:eastAsia="Times New Roman" w:hAnsi="Times New Roman" w:cs="Times New Roman"/>
          <w:color w:val="000000"/>
          <w:sz w:val="24"/>
          <w:szCs w:val="24"/>
        </w:rPr>
        <w:t>the start of the subscription term</w:t>
      </w:r>
      <w:r w:rsidR="005B7174" w:rsidRPr="004B0DA6">
        <w:rPr>
          <w:rFonts w:ascii="Times New Roman" w:eastAsia="Times New Roman" w:hAnsi="Times New Roman" w:cs="Times New Roman"/>
          <w:color w:val="000000"/>
          <w:sz w:val="24"/>
          <w:szCs w:val="24"/>
        </w:rPr>
        <w:t xml:space="preserve">, </w:t>
      </w:r>
      <w:r w:rsidRPr="004B0DA6">
        <w:rPr>
          <w:rFonts w:ascii="Times New Roman" w:eastAsia="Times New Roman" w:hAnsi="Times New Roman" w:cs="Times New Roman"/>
          <w:color w:val="000000"/>
          <w:sz w:val="24"/>
          <w:szCs w:val="24"/>
        </w:rPr>
        <w:t xml:space="preserve">less any incentives received from the </w:t>
      </w:r>
      <w:r w:rsidR="00182A8D" w:rsidRPr="004B0DA6">
        <w:rPr>
          <w:rFonts w:ascii="Times New Roman" w:eastAsia="Times New Roman" w:hAnsi="Times New Roman" w:cs="Times New Roman"/>
          <w:color w:val="000000"/>
          <w:sz w:val="24"/>
          <w:szCs w:val="24"/>
        </w:rPr>
        <w:t>IT subscription</w:t>
      </w:r>
      <w:r w:rsidRPr="004B0DA6">
        <w:rPr>
          <w:rFonts w:ascii="Times New Roman" w:eastAsia="Times New Roman" w:hAnsi="Times New Roman" w:cs="Times New Roman"/>
          <w:color w:val="000000"/>
          <w:sz w:val="24"/>
          <w:szCs w:val="24"/>
        </w:rPr>
        <w:t xml:space="preserve"> vendor at the </w:t>
      </w:r>
      <w:r w:rsidR="00997C94" w:rsidRPr="004B0DA6">
        <w:rPr>
          <w:rFonts w:ascii="Times New Roman" w:eastAsia="Times New Roman" w:hAnsi="Times New Roman" w:cs="Times New Roman"/>
          <w:color w:val="000000"/>
          <w:sz w:val="24"/>
          <w:szCs w:val="24"/>
        </w:rPr>
        <w:t>start</w:t>
      </w:r>
      <w:r w:rsidRPr="004B0DA6">
        <w:rPr>
          <w:rFonts w:ascii="Times New Roman" w:eastAsia="Times New Roman" w:hAnsi="Times New Roman" w:cs="Times New Roman"/>
          <w:color w:val="000000"/>
          <w:sz w:val="24"/>
          <w:szCs w:val="24"/>
        </w:rPr>
        <w:t xml:space="preserve"> of the subscription term</w:t>
      </w:r>
      <w:r w:rsidR="008210A6" w:rsidRPr="004B0DA6">
        <w:rPr>
          <w:rFonts w:ascii="Times New Roman" w:eastAsia="Times New Roman" w:hAnsi="Times New Roman" w:cs="Times New Roman"/>
          <w:color w:val="000000"/>
          <w:sz w:val="24"/>
          <w:szCs w:val="24"/>
        </w:rPr>
        <w:t>.</w:t>
      </w:r>
      <w:r w:rsidR="00246BD5" w:rsidRPr="004B0DA6">
        <w:rPr>
          <w:rFonts w:ascii="Times New Roman" w:eastAsia="Times New Roman" w:hAnsi="Times New Roman" w:cs="Times New Roman"/>
          <w:color w:val="000000"/>
          <w:sz w:val="24"/>
          <w:szCs w:val="24"/>
        </w:rPr>
        <w:t xml:space="preserve"> Subscription payments, as well as payments for capitalizable implementation costs made before the start of the subscription term should be reported as a prepayment (asset). Such prepayments should be reduced by any incentives received from the same vendor before the start of the subscription term if a right of offset exists.</w:t>
      </w:r>
      <w:r w:rsidR="00864AC6" w:rsidRPr="004B0DA6">
        <w:rPr>
          <w:rFonts w:ascii="Times New Roman" w:eastAsia="Times New Roman" w:hAnsi="Times New Roman" w:cs="Times New Roman"/>
          <w:color w:val="000000"/>
          <w:sz w:val="24"/>
          <w:szCs w:val="24"/>
        </w:rPr>
        <w:t xml:space="preserve"> The net amount of the prepayments and incentives should be reported as an asset or liability, as appropriate, before the start of the subscription term at which time the amount should be included in the initial measurement of the subscription asset.</w:t>
      </w:r>
      <w:r w:rsidR="000A0FC9" w:rsidRPr="004B0DA6">
        <w:rPr>
          <w:rFonts w:ascii="Times New Roman" w:eastAsia="Times New Roman" w:hAnsi="Times New Roman" w:cs="Times New Roman"/>
          <w:color w:val="000000"/>
          <w:sz w:val="24"/>
          <w:szCs w:val="24"/>
        </w:rPr>
        <w:t xml:space="preserve"> The right to use </w:t>
      </w:r>
      <w:r w:rsidRPr="004B0DA6">
        <w:rPr>
          <w:rFonts w:ascii="Times New Roman" w:eastAsia="Times New Roman" w:hAnsi="Times New Roman" w:cs="Times New Roman"/>
          <w:color w:val="000000"/>
          <w:sz w:val="24"/>
          <w:szCs w:val="24"/>
        </w:rPr>
        <w:t>subscription asset</w:t>
      </w:r>
      <w:r w:rsidR="000A0FC9" w:rsidRPr="004B0DA6">
        <w:rPr>
          <w:rFonts w:ascii="Times New Roman" w:eastAsia="Times New Roman" w:hAnsi="Times New Roman" w:cs="Times New Roman"/>
          <w:color w:val="000000"/>
          <w:sz w:val="24"/>
          <w:szCs w:val="24"/>
        </w:rPr>
        <w:t>s</w:t>
      </w:r>
      <w:r w:rsidRPr="004B0DA6">
        <w:rPr>
          <w:rFonts w:ascii="Times New Roman" w:eastAsia="Times New Roman" w:hAnsi="Times New Roman" w:cs="Times New Roman"/>
          <w:color w:val="000000"/>
          <w:sz w:val="24"/>
          <w:szCs w:val="24"/>
        </w:rPr>
        <w:t xml:space="preserve"> should be amortized </w:t>
      </w:r>
      <w:r w:rsidR="000A0FC9" w:rsidRPr="004B0DA6">
        <w:rPr>
          <w:rFonts w:ascii="Times New Roman" w:eastAsia="Times New Roman" w:hAnsi="Times New Roman" w:cs="Times New Roman"/>
          <w:color w:val="000000"/>
          <w:sz w:val="24"/>
          <w:szCs w:val="24"/>
        </w:rPr>
        <w:t>on</w:t>
      </w:r>
      <w:r w:rsidRPr="004B0DA6">
        <w:rPr>
          <w:rFonts w:ascii="Times New Roman" w:eastAsia="Times New Roman" w:hAnsi="Times New Roman" w:cs="Times New Roman"/>
          <w:color w:val="000000"/>
          <w:sz w:val="24"/>
          <w:szCs w:val="24"/>
        </w:rPr>
        <w:t xml:space="preserve"> a s</w:t>
      </w:r>
      <w:r w:rsidR="000A0FC9" w:rsidRPr="004B0DA6">
        <w:rPr>
          <w:rFonts w:ascii="Times New Roman" w:eastAsia="Times New Roman" w:hAnsi="Times New Roman" w:cs="Times New Roman"/>
          <w:color w:val="000000"/>
          <w:sz w:val="24"/>
          <w:szCs w:val="24"/>
        </w:rPr>
        <w:t>traight-line basis</w:t>
      </w:r>
      <w:r w:rsidRPr="004B0DA6">
        <w:rPr>
          <w:rFonts w:ascii="Times New Roman" w:eastAsia="Times New Roman" w:hAnsi="Times New Roman" w:cs="Times New Roman"/>
          <w:color w:val="000000"/>
          <w:sz w:val="24"/>
          <w:szCs w:val="24"/>
        </w:rPr>
        <w:t xml:space="preserve"> over the subscription term.</w:t>
      </w:r>
    </w:p>
    <w:p w14:paraId="64EA21C2" w14:textId="77777777" w:rsidR="007A1A19" w:rsidRPr="004B0DA6" w:rsidRDefault="007A1A19" w:rsidP="00B15230">
      <w:pPr>
        <w:shd w:val="clear" w:color="auto" w:fill="FFFFFF"/>
        <w:spacing w:after="0" w:line="240" w:lineRule="auto"/>
        <w:jc w:val="both"/>
        <w:rPr>
          <w:rFonts w:ascii="Times New Roman" w:hAnsi="Times New Roman" w:cs="Times New Roman"/>
          <w:sz w:val="24"/>
          <w:szCs w:val="24"/>
        </w:rPr>
      </w:pPr>
    </w:p>
    <w:p w14:paraId="098C0FE8" w14:textId="65354CAA" w:rsidR="0056179C" w:rsidRPr="004B0DA6" w:rsidRDefault="0056179C" w:rsidP="004D516E">
      <w:pPr>
        <w:pBdr>
          <w:top w:val="thinThickThinSmallGap" w:sz="24" w:space="1" w:color="auto"/>
          <w:left w:val="thinThickThinSmallGap" w:sz="24" w:space="4" w:color="auto"/>
          <w:bottom w:val="thinThickThinSmallGap" w:sz="24" w:space="0" w:color="auto"/>
          <w:right w:val="thinThickThinSmallGap" w:sz="24" w:space="4" w:color="auto"/>
        </w:pBdr>
        <w:jc w:val="both"/>
        <w:rPr>
          <w:rFonts w:ascii="Times New Roman" w:hAnsi="Times New Roman" w:cs="Times New Roman"/>
          <w:sz w:val="24"/>
          <w:szCs w:val="24"/>
        </w:rPr>
      </w:pPr>
      <w:r w:rsidRPr="004B0DA6">
        <w:rPr>
          <w:rFonts w:ascii="Times New Roman" w:hAnsi="Times New Roman" w:cs="Times New Roman"/>
          <w:b/>
          <w:sz w:val="24"/>
          <w:szCs w:val="24"/>
        </w:rPr>
        <w:t>Note to Preparer</w:t>
      </w:r>
      <w:r w:rsidRPr="004B0DA6">
        <w:rPr>
          <w:rFonts w:ascii="Times New Roman" w:hAnsi="Times New Roman" w:cs="Times New Roman"/>
          <w:sz w:val="24"/>
          <w:szCs w:val="24"/>
        </w:rPr>
        <w:t xml:space="preserve">: For more information, please refer to GASB Statement No. 51, </w:t>
      </w:r>
      <w:r w:rsidRPr="004B0DA6">
        <w:rPr>
          <w:rFonts w:ascii="Times New Roman" w:hAnsi="Times New Roman" w:cs="Times New Roman"/>
          <w:i/>
          <w:sz w:val="24"/>
          <w:szCs w:val="24"/>
        </w:rPr>
        <w:t>Accounting and Financial Reporting for Intangible Assets</w:t>
      </w:r>
      <w:r w:rsidRPr="004B0DA6">
        <w:rPr>
          <w:rFonts w:ascii="Times New Roman" w:hAnsi="Times New Roman" w:cs="Times New Roman"/>
          <w:sz w:val="24"/>
          <w:szCs w:val="24"/>
        </w:rPr>
        <w:t xml:space="preserve">. Statement 51 requires internally generated/modified computer software to be capitalized.  Like other internally generated intangible assets, computer software should be expensed until the </w:t>
      </w:r>
      <w:r w:rsidR="00044697" w:rsidRPr="004B0DA6">
        <w:rPr>
          <w:rFonts w:ascii="Times New Roman" w:hAnsi="Times New Roman" w:cs="Times New Roman"/>
          <w:sz w:val="24"/>
          <w:szCs w:val="24"/>
        </w:rPr>
        <w:t xml:space="preserve">occurrence of all of </w:t>
      </w:r>
      <w:r w:rsidRPr="004B0DA6">
        <w:rPr>
          <w:rFonts w:ascii="Times New Roman" w:hAnsi="Times New Roman" w:cs="Times New Roman"/>
          <w:sz w:val="24"/>
          <w:szCs w:val="24"/>
        </w:rPr>
        <w:t xml:space="preserve">requirements listed in </w:t>
      </w:r>
      <w:r w:rsidR="00044697" w:rsidRPr="004B0DA6">
        <w:rPr>
          <w:rFonts w:ascii="Times New Roman" w:hAnsi="Times New Roman" w:cs="Times New Roman"/>
          <w:sz w:val="24"/>
          <w:szCs w:val="24"/>
        </w:rPr>
        <w:t xml:space="preserve">GASB 51 </w:t>
      </w:r>
      <w:r w:rsidRPr="004B0DA6">
        <w:rPr>
          <w:rFonts w:ascii="Times New Roman" w:hAnsi="Times New Roman" w:cs="Times New Roman"/>
          <w:sz w:val="24"/>
          <w:szCs w:val="24"/>
        </w:rPr>
        <w:t xml:space="preserve">paragraph 8.  </w:t>
      </w:r>
    </w:p>
    <w:p w14:paraId="6B5C9489" w14:textId="02DAE602" w:rsidR="0056179C" w:rsidRPr="004B0DA6" w:rsidRDefault="0056179C" w:rsidP="004D516E">
      <w:pPr>
        <w:pBdr>
          <w:top w:val="thinThickThinSmallGap" w:sz="24" w:space="1" w:color="auto"/>
          <w:left w:val="thinThickThinSmallGap" w:sz="24" w:space="4" w:color="auto"/>
          <w:bottom w:val="thinThickThinSmallGap" w:sz="24" w:space="0" w:color="auto"/>
          <w:right w:val="thinThickThinSmallGap" w:sz="24" w:space="4" w:color="auto"/>
        </w:pBdr>
        <w:jc w:val="both"/>
        <w:rPr>
          <w:rFonts w:ascii="Times New Roman" w:hAnsi="Times New Roman" w:cs="Times New Roman"/>
          <w:sz w:val="24"/>
          <w:szCs w:val="24"/>
        </w:rPr>
      </w:pPr>
      <w:r w:rsidRPr="004B0DA6">
        <w:rPr>
          <w:rFonts w:ascii="Times New Roman" w:hAnsi="Times New Roman" w:cs="Times New Roman"/>
          <w:sz w:val="24"/>
          <w:szCs w:val="24"/>
        </w:rPr>
        <w:t>GASB Statement No. 72 requires that donations of specific capital assets during fiscal years beginning after June 15, 2015, be measured at acquisition value.  For more information on the acquisition value requirements for certain donated capital assets, please refer to paragraph 79 of GASB Statement No. 72.</w:t>
      </w:r>
    </w:p>
    <w:p w14:paraId="39114EA3" w14:textId="77777777" w:rsidR="004D516E" w:rsidRPr="004B0DA6" w:rsidRDefault="004D516E" w:rsidP="007A1A19">
      <w:pPr>
        <w:spacing w:after="0"/>
        <w:jc w:val="both"/>
        <w:rPr>
          <w:rFonts w:ascii="Times New Roman" w:hAnsi="Times New Roman" w:cs="Times New Roman"/>
          <w:sz w:val="24"/>
          <w:szCs w:val="24"/>
        </w:rPr>
      </w:pPr>
    </w:p>
    <w:p w14:paraId="470816FE" w14:textId="77777777" w:rsidR="004D516E" w:rsidRPr="004B0DA6" w:rsidRDefault="004D516E" w:rsidP="007A1A19">
      <w:pPr>
        <w:spacing w:after="0"/>
        <w:jc w:val="both"/>
        <w:rPr>
          <w:rFonts w:ascii="Times New Roman" w:hAnsi="Times New Roman" w:cs="Times New Roman"/>
          <w:sz w:val="24"/>
          <w:szCs w:val="24"/>
        </w:rPr>
      </w:pPr>
    </w:p>
    <w:p w14:paraId="310367CE" w14:textId="77777777" w:rsidR="004D516E" w:rsidRPr="004B0DA6" w:rsidRDefault="004D516E" w:rsidP="007A1A19">
      <w:pPr>
        <w:spacing w:after="0"/>
        <w:jc w:val="both"/>
        <w:rPr>
          <w:rFonts w:ascii="Times New Roman" w:hAnsi="Times New Roman" w:cs="Times New Roman"/>
          <w:sz w:val="24"/>
          <w:szCs w:val="24"/>
        </w:rPr>
      </w:pPr>
    </w:p>
    <w:p w14:paraId="4EA51A4E" w14:textId="77777777" w:rsidR="004D516E" w:rsidRPr="004B0DA6" w:rsidRDefault="004D516E" w:rsidP="007A1A19">
      <w:pPr>
        <w:spacing w:after="0"/>
        <w:jc w:val="both"/>
        <w:rPr>
          <w:rFonts w:ascii="Times New Roman" w:hAnsi="Times New Roman" w:cs="Times New Roman"/>
          <w:sz w:val="24"/>
          <w:szCs w:val="24"/>
        </w:rPr>
      </w:pPr>
    </w:p>
    <w:p w14:paraId="6BDA7C7A" w14:textId="6D7E1DEF" w:rsidR="007A1A19" w:rsidRPr="004B0DA6" w:rsidRDefault="0056179C" w:rsidP="007A1A19">
      <w:pPr>
        <w:spacing w:after="0"/>
        <w:jc w:val="both"/>
        <w:rPr>
          <w:rFonts w:ascii="Times New Roman" w:hAnsi="Times New Roman" w:cs="Times New Roman"/>
          <w:sz w:val="24"/>
          <w:szCs w:val="24"/>
        </w:rPr>
      </w:pPr>
      <w:r w:rsidRPr="004B0DA6">
        <w:rPr>
          <w:rFonts w:ascii="Times New Roman" w:hAnsi="Times New Roman" w:cs="Times New Roman"/>
          <w:sz w:val="24"/>
          <w:szCs w:val="24"/>
        </w:rPr>
        <w:lastRenderedPageBreak/>
        <w:t>Capital assets are depreciated using the straight-line method over the following estimated useful lives:</w:t>
      </w:r>
    </w:p>
    <w:tbl>
      <w:tblPr>
        <w:tblpPr w:leftFromText="180" w:rightFromText="180"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847"/>
        <w:gridCol w:w="1847"/>
      </w:tblGrid>
      <w:tr w:rsidR="00F9386B" w:rsidRPr="004B0DA6" w14:paraId="56C5A771" w14:textId="77777777" w:rsidTr="004D516E">
        <w:trPr>
          <w:trHeight w:val="73"/>
        </w:trPr>
        <w:tc>
          <w:tcPr>
            <w:tcW w:w="4428" w:type="dxa"/>
            <w:tcBorders>
              <w:top w:val="nil"/>
              <w:left w:val="nil"/>
              <w:bottom w:val="nil"/>
              <w:right w:val="nil"/>
            </w:tcBorders>
            <w:shd w:val="clear" w:color="auto" w:fill="auto"/>
          </w:tcPr>
          <w:p w14:paraId="6D37F3C6" w14:textId="77777777" w:rsidR="00F9386B" w:rsidRPr="004B0DA6" w:rsidRDefault="00F9386B" w:rsidP="007A1A19">
            <w:pPr>
              <w:spacing w:after="0" w:line="240" w:lineRule="auto"/>
              <w:rPr>
                <w:rFonts w:ascii="Times New Roman" w:eastAsia="Times New Roman" w:hAnsi="Times New Roman" w:cs="Times New Roman"/>
                <w:sz w:val="24"/>
                <w:szCs w:val="24"/>
              </w:rPr>
            </w:pPr>
          </w:p>
        </w:tc>
        <w:tc>
          <w:tcPr>
            <w:tcW w:w="1847" w:type="dxa"/>
            <w:tcBorders>
              <w:top w:val="nil"/>
              <w:left w:val="nil"/>
              <w:bottom w:val="nil"/>
              <w:right w:val="nil"/>
            </w:tcBorders>
          </w:tcPr>
          <w:p w14:paraId="168FD1A4" w14:textId="77777777" w:rsidR="00F9386B" w:rsidRPr="004B0DA6" w:rsidRDefault="00F9386B" w:rsidP="00F9386B">
            <w:pPr>
              <w:tabs>
                <w:tab w:val="left" w:pos="240"/>
                <w:tab w:val="center" w:pos="792"/>
              </w:tabs>
              <w:spacing w:after="0" w:line="240" w:lineRule="auto"/>
              <w:rPr>
                <w:rFonts w:ascii="Times New Roman" w:eastAsia="Times New Roman" w:hAnsi="Times New Roman" w:cs="Times New Roman"/>
                <w:sz w:val="24"/>
                <w:szCs w:val="24"/>
              </w:rPr>
            </w:pPr>
          </w:p>
        </w:tc>
        <w:tc>
          <w:tcPr>
            <w:tcW w:w="1847" w:type="dxa"/>
            <w:tcBorders>
              <w:top w:val="nil"/>
              <w:left w:val="nil"/>
              <w:bottom w:val="nil"/>
              <w:right w:val="nil"/>
            </w:tcBorders>
          </w:tcPr>
          <w:p w14:paraId="266A4AD5" w14:textId="77777777" w:rsidR="00F9386B" w:rsidRPr="004B0DA6" w:rsidRDefault="00F9386B" w:rsidP="00F9386B">
            <w:pPr>
              <w:tabs>
                <w:tab w:val="left" w:pos="240"/>
                <w:tab w:val="center" w:pos="792"/>
              </w:tabs>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t>Estimated</w:t>
            </w:r>
          </w:p>
        </w:tc>
      </w:tr>
      <w:tr w:rsidR="00F9386B" w:rsidRPr="004B0DA6" w14:paraId="54DBE186" w14:textId="77777777" w:rsidTr="004D516E">
        <w:trPr>
          <w:trHeight w:val="264"/>
        </w:trPr>
        <w:tc>
          <w:tcPr>
            <w:tcW w:w="4428" w:type="dxa"/>
            <w:tcBorders>
              <w:top w:val="nil"/>
              <w:left w:val="nil"/>
              <w:bottom w:val="single" w:sz="4" w:space="0" w:color="auto"/>
              <w:right w:val="nil"/>
            </w:tcBorders>
          </w:tcPr>
          <w:p w14:paraId="77B580A0"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Asset Class</w:t>
            </w:r>
          </w:p>
        </w:tc>
        <w:tc>
          <w:tcPr>
            <w:tcW w:w="1847" w:type="dxa"/>
            <w:tcBorders>
              <w:top w:val="nil"/>
              <w:left w:val="nil"/>
              <w:bottom w:val="single" w:sz="4" w:space="0" w:color="auto"/>
              <w:right w:val="nil"/>
            </w:tcBorders>
          </w:tcPr>
          <w:p w14:paraId="09146D85"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single" w:sz="4" w:space="0" w:color="auto"/>
              <w:right w:val="nil"/>
            </w:tcBorders>
          </w:tcPr>
          <w:p w14:paraId="6FBA304D"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Useful Lives</w:t>
            </w:r>
          </w:p>
        </w:tc>
      </w:tr>
      <w:tr w:rsidR="00F9386B" w:rsidRPr="004B0DA6" w14:paraId="7F978070" w14:textId="77777777" w:rsidTr="004D516E">
        <w:trPr>
          <w:trHeight w:val="264"/>
        </w:trPr>
        <w:tc>
          <w:tcPr>
            <w:tcW w:w="4428" w:type="dxa"/>
            <w:tcBorders>
              <w:top w:val="single" w:sz="4" w:space="0" w:color="auto"/>
              <w:left w:val="nil"/>
              <w:bottom w:val="nil"/>
              <w:right w:val="nil"/>
            </w:tcBorders>
          </w:tcPr>
          <w:p w14:paraId="1267ACB8" w14:textId="77777777" w:rsidR="00F9386B" w:rsidRPr="004B0DA6" w:rsidRDefault="00F9386B" w:rsidP="00026AFF">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Buildings and system</w:t>
            </w:r>
          </w:p>
        </w:tc>
        <w:tc>
          <w:tcPr>
            <w:tcW w:w="1847" w:type="dxa"/>
            <w:tcBorders>
              <w:top w:val="single" w:sz="4" w:space="0" w:color="auto"/>
              <w:left w:val="nil"/>
              <w:bottom w:val="nil"/>
              <w:right w:val="nil"/>
            </w:tcBorders>
          </w:tcPr>
          <w:p w14:paraId="2E59DCEC"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p>
        </w:tc>
        <w:tc>
          <w:tcPr>
            <w:tcW w:w="1847" w:type="dxa"/>
            <w:tcBorders>
              <w:top w:val="single" w:sz="4" w:space="0" w:color="auto"/>
              <w:left w:val="nil"/>
              <w:bottom w:val="nil"/>
              <w:right w:val="nil"/>
            </w:tcBorders>
          </w:tcPr>
          <w:p w14:paraId="487D078D"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30</w:t>
            </w:r>
          </w:p>
        </w:tc>
      </w:tr>
      <w:tr w:rsidR="00F9386B" w:rsidRPr="004B0DA6" w14:paraId="092362DA" w14:textId="77777777" w:rsidTr="004D516E">
        <w:trPr>
          <w:trHeight w:val="264"/>
        </w:trPr>
        <w:tc>
          <w:tcPr>
            <w:tcW w:w="4428" w:type="dxa"/>
            <w:tcBorders>
              <w:top w:val="nil"/>
              <w:left w:val="nil"/>
              <w:bottom w:val="nil"/>
              <w:right w:val="nil"/>
            </w:tcBorders>
          </w:tcPr>
          <w:p w14:paraId="72274F2E" w14:textId="77777777" w:rsidR="00F9386B" w:rsidRPr="004B0DA6" w:rsidRDefault="00F9386B" w:rsidP="00026AFF">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Infrastructure</w:t>
            </w:r>
          </w:p>
        </w:tc>
        <w:tc>
          <w:tcPr>
            <w:tcW w:w="1847" w:type="dxa"/>
            <w:tcBorders>
              <w:top w:val="nil"/>
              <w:left w:val="nil"/>
              <w:bottom w:val="nil"/>
              <w:right w:val="nil"/>
            </w:tcBorders>
          </w:tcPr>
          <w:p w14:paraId="691599B6"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nil"/>
              <w:right w:val="nil"/>
            </w:tcBorders>
          </w:tcPr>
          <w:p w14:paraId="7CB6BAA6"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50</w:t>
            </w:r>
          </w:p>
        </w:tc>
      </w:tr>
      <w:tr w:rsidR="00F9386B" w:rsidRPr="004B0DA6" w14:paraId="37DFE51E" w14:textId="77777777" w:rsidTr="004D516E">
        <w:trPr>
          <w:trHeight w:val="264"/>
        </w:trPr>
        <w:tc>
          <w:tcPr>
            <w:tcW w:w="4428" w:type="dxa"/>
            <w:tcBorders>
              <w:top w:val="nil"/>
              <w:left w:val="nil"/>
              <w:bottom w:val="nil"/>
              <w:right w:val="nil"/>
            </w:tcBorders>
          </w:tcPr>
          <w:p w14:paraId="2D93F214" w14:textId="77777777" w:rsidR="00F9386B" w:rsidRPr="004B0DA6" w:rsidRDefault="00F9386B" w:rsidP="00026AFF">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Equipment and furniture</w:t>
            </w:r>
          </w:p>
        </w:tc>
        <w:tc>
          <w:tcPr>
            <w:tcW w:w="1847" w:type="dxa"/>
            <w:tcBorders>
              <w:top w:val="nil"/>
              <w:left w:val="nil"/>
              <w:bottom w:val="nil"/>
              <w:right w:val="nil"/>
            </w:tcBorders>
          </w:tcPr>
          <w:p w14:paraId="1FBABB8A"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nil"/>
              <w:right w:val="nil"/>
            </w:tcBorders>
          </w:tcPr>
          <w:p w14:paraId="59B9618B"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10</w:t>
            </w:r>
          </w:p>
        </w:tc>
      </w:tr>
      <w:tr w:rsidR="00F9386B" w:rsidRPr="004B0DA6" w14:paraId="556D3648" w14:textId="77777777" w:rsidTr="004D516E">
        <w:trPr>
          <w:trHeight w:val="264"/>
        </w:trPr>
        <w:tc>
          <w:tcPr>
            <w:tcW w:w="4428" w:type="dxa"/>
            <w:tcBorders>
              <w:top w:val="nil"/>
              <w:left w:val="nil"/>
              <w:bottom w:val="nil"/>
              <w:right w:val="nil"/>
            </w:tcBorders>
          </w:tcPr>
          <w:p w14:paraId="23657EA6" w14:textId="77777777" w:rsidR="00F9386B" w:rsidRPr="004B0DA6" w:rsidRDefault="00F9386B" w:rsidP="00026AFF">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Vehicles and motorized equipment</w:t>
            </w:r>
          </w:p>
        </w:tc>
        <w:tc>
          <w:tcPr>
            <w:tcW w:w="1847" w:type="dxa"/>
            <w:tcBorders>
              <w:top w:val="nil"/>
              <w:left w:val="nil"/>
              <w:bottom w:val="nil"/>
              <w:right w:val="nil"/>
            </w:tcBorders>
          </w:tcPr>
          <w:p w14:paraId="07B87C7A"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nil"/>
              <w:right w:val="nil"/>
            </w:tcBorders>
          </w:tcPr>
          <w:p w14:paraId="4B8C0373"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6</w:t>
            </w:r>
          </w:p>
        </w:tc>
      </w:tr>
      <w:tr w:rsidR="00F9386B" w:rsidRPr="004B0DA6" w14:paraId="5535D45D" w14:textId="77777777" w:rsidTr="004D516E">
        <w:trPr>
          <w:trHeight w:val="264"/>
        </w:trPr>
        <w:tc>
          <w:tcPr>
            <w:tcW w:w="4428" w:type="dxa"/>
            <w:tcBorders>
              <w:top w:val="nil"/>
              <w:left w:val="nil"/>
              <w:bottom w:val="nil"/>
              <w:right w:val="nil"/>
            </w:tcBorders>
          </w:tcPr>
          <w:p w14:paraId="59C84A63" w14:textId="77777777" w:rsidR="00F9386B" w:rsidRPr="004B0DA6" w:rsidRDefault="00F9386B" w:rsidP="00026AFF">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Computer equipment</w:t>
            </w:r>
          </w:p>
        </w:tc>
        <w:tc>
          <w:tcPr>
            <w:tcW w:w="1847" w:type="dxa"/>
            <w:tcBorders>
              <w:top w:val="nil"/>
              <w:left w:val="nil"/>
              <w:bottom w:val="nil"/>
              <w:right w:val="nil"/>
            </w:tcBorders>
          </w:tcPr>
          <w:p w14:paraId="73DA96D2"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nil"/>
              <w:right w:val="nil"/>
            </w:tcBorders>
          </w:tcPr>
          <w:p w14:paraId="23D8F4D8"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3</w:t>
            </w:r>
          </w:p>
        </w:tc>
      </w:tr>
      <w:tr w:rsidR="00F9386B" w:rsidRPr="004B0DA6" w14:paraId="1EA070EE" w14:textId="77777777" w:rsidTr="004D516E">
        <w:trPr>
          <w:trHeight w:val="264"/>
        </w:trPr>
        <w:tc>
          <w:tcPr>
            <w:tcW w:w="4428" w:type="dxa"/>
            <w:tcBorders>
              <w:top w:val="nil"/>
              <w:left w:val="nil"/>
              <w:bottom w:val="nil"/>
              <w:right w:val="nil"/>
            </w:tcBorders>
          </w:tcPr>
          <w:p w14:paraId="0D20E215" w14:textId="5F73CC2B" w:rsidR="00F9386B" w:rsidRPr="004B0DA6" w:rsidRDefault="007A1A19" w:rsidP="00026AFF">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Co</w:t>
            </w:r>
            <w:r w:rsidR="00F9386B" w:rsidRPr="004B0DA6">
              <w:rPr>
                <w:rFonts w:ascii="Times New Roman" w:eastAsia="Times New Roman" w:hAnsi="Times New Roman" w:cs="Times New Roman"/>
                <w:sz w:val="24"/>
                <w:szCs w:val="24"/>
              </w:rPr>
              <w:t>mputer software</w:t>
            </w:r>
          </w:p>
          <w:p w14:paraId="418E017E" w14:textId="3A958289" w:rsidR="00F9386B" w:rsidRPr="004B0DA6" w:rsidRDefault="00F9386B" w:rsidP="00026AFF">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Substations, lines, and related equipment                                     </w:t>
            </w:r>
            <w:r w:rsidR="0062064C" w:rsidRPr="004B0DA6">
              <w:rPr>
                <w:rFonts w:ascii="Times New Roman" w:eastAsia="Times New Roman" w:hAnsi="Times New Roman" w:cs="Times New Roman"/>
                <w:sz w:val="24"/>
                <w:szCs w:val="24"/>
              </w:rPr>
              <w:t>other</w:t>
            </w:r>
            <w:r w:rsidRPr="004B0DA6">
              <w:rPr>
                <w:rFonts w:ascii="Times New Roman" w:eastAsia="Times New Roman" w:hAnsi="Times New Roman" w:cs="Times New Roman"/>
                <w:sz w:val="24"/>
                <w:szCs w:val="24"/>
              </w:rPr>
              <w:t xml:space="preserve"> improvements</w:t>
            </w:r>
          </w:p>
        </w:tc>
        <w:tc>
          <w:tcPr>
            <w:tcW w:w="1847" w:type="dxa"/>
            <w:tcBorders>
              <w:top w:val="nil"/>
              <w:left w:val="nil"/>
              <w:bottom w:val="nil"/>
              <w:right w:val="nil"/>
            </w:tcBorders>
          </w:tcPr>
          <w:p w14:paraId="7FDC0BA5"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nil"/>
              <w:right w:val="nil"/>
            </w:tcBorders>
          </w:tcPr>
          <w:p w14:paraId="37B7C715"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5</w:t>
            </w:r>
          </w:p>
          <w:p w14:paraId="205D3A23"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40</w:t>
            </w:r>
          </w:p>
          <w:p w14:paraId="338C0B76" w14:textId="77777777" w:rsidR="00F9386B" w:rsidRPr="004B0DA6" w:rsidRDefault="00F9386B" w:rsidP="00F9386B">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25</w:t>
            </w:r>
          </w:p>
        </w:tc>
      </w:tr>
      <w:tr w:rsidR="004D516E" w:rsidRPr="004B0DA6" w14:paraId="221D2C4B" w14:textId="77777777" w:rsidTr="004D516E">
        <w:trPr>
          <w:trHeight w:val="264"/>
        </w:trPr>
        <w:tc>
          <w:tcPr>
            <w:tcW w:w="4428" w:type="dxa"/>
            <w:tcBorders>
              <w:top w:val="nil"/>
              <w:left w:val="nil"/>
              <w:bottom w:val="nil"/>
              <w:right w:val="nil"/>
            </w:tcBorders>
            <w:noWrap/>
          </w:tcPr>
          <w:p w14:paraId="0C1923BF" w14:textId="77777777" w:rsidR="004D516E" w:rsidRPr="004B0DA6" w:rsidDel="00E73384" w:rsidRDefault="004D516E" w:rsidP="007A1A19">
            <w:pPr>
              <w:spacing w:after="0" w:line="240" w:lineRule="auto"/>
              <w:rPr>
                <w:rFonts w:ascii="Times New Roman" w:eastAsia="Times New Roman" w:hAnsi="Times New Roman" w:cs="Times New Roman"/>
                <w:sz w:val="24"/>
                <w:szCs w:val="24"/>
              </w:rPr>
            </w:pPr>
          </w:p>
        </w:tc>
        <w:tc>
          <w:tcPr>
            <w:tcW w:w="1847" w:type="dxa"/>
            <w:tcBorders>
              <w:top w:val="nil"/>
              <w:left w:val="nil"/>
              <w:bottom w:val="nil"/>
              <w:right w:val="nil"/>
            </w:tcBorders>
            <w:noWrap/>
          </w:tcPr>
          <w:p w14:paraId="3B7CFC3A" w14:textId="77777777" w:rsidR="004D516E" w:rsidRPr="004B0DA6" w:rsidDel="00E73384" w:rsidRDefault="004D516E"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nil"/>
              <w:right w:val="nil"/>
            </w:tcBorders>
            <w:noWrap/>
          </w:tcPr>
          <w:p w14:paraId="44E50C7F" w14:textId="0FF10665" w:rsidR="004D516E" w:rsidRPr="004B0DA6" w:rsidDel="00E73384" w:rsidRDefault="004D516E" w:rsidP="00F9386B">
            <w:pPr>
              <w:spacing w:after="0" w:line="240" w:lineRule="auto"/>
              <w:jc w:val="center"/>
              <w:rPr>
                <w:rFonts w:ascii="Times New Roman" w:eastAsia="Times New Roman" w:hAnsi="Times New Roman" w:cs="Times New Roman"/>
                <w:sz w:val="24"/>
                <w:szCs w:val="24"/>
              </w:rPr>
            </w:pPr>
          </w:p>
        </w:tc>
      </w:tr>
      <w:tr w:rsidR="004D516E" w:rsidRPr="004B0DA6" w14:paraId="41EF067B" w14:textId="77777777" w:rsidTr="004D516E">
        <w:trPr>
          <w:trHeight w:val="264"/>
        </w:trPr>
        <w:tc>
          <w:tcPr>
            <w:tcW w:w="4428" w:type="dxa"/>
            <w:tcBorders>
              <w:top w:val="nil"/>
              <w:left w:val="nil"/>
              <w:bottom w:val="nil"/>
              <w:right w:val="nil"/>
            </w:tcBorders>
            <w:noWrap/>
          </w:tcPr>
          <w:p w14:paraId="08BE6248" w14:textId="77777777" w:rsidR="004D516E" w:rsidRPr="004B0DA6" w:rsidDel="00E73384" w:rsidRDefault="004D516E" w:rsidP="007A1A19">
            <w:pPr>
              <w:spacing w:after="0" w:line="240" w:lineRule="auto"/>
              <w:rPr>
                <w:rFonts w:ascii="Times New Roman" w:eastAsia="Times New Roman" w:hAnsi="Times New Roman" w:cs="Times New Roman"/>
                <w:sz w:val="24"/>
                <w:szCs w:val="24"/>
              </w:rPr>
            </w:pPr>
          </w:p>
        </w:tc>
        <w:tc>
          <w:tcPr>
            <w:tcW w:w="1847" w:type="dxa"/>
            <w:tcBorders>
              <w:top w:val="nil"/>
              <w:left w:val="nil"/>
              <w:bottom w:val="nil"/>
              <w:right w:val="nil"/>
            </w:tcBorders>
            <w:noWrap/>
          </w:tcPr>
          <w:p w14:paraId="0ACD2460" w14:textId="77777777" w:rsidR="004D516E" w:rsidRPr="004B0DA6" w:rsidDel="00E73384" w:rsidRDefault="004D516E"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nil"/>
              <w:right w:val="nil"/>
            </w:tcBorders>
            <w:noWrap/>
          </w:tcPr>
          <w:p w14:paraId="7AF91D89" w14:textId="77777777" w:rsidR="004D516E" w:rsidRPr="004B0DA6" w:rsidDel="00E73384" w:rsidRDefault="004D516E" w:rsidP="00F9386B">
            <w:pPr>
              <w:spacing w:after="0" w:line="240" w:lineRule="auto"/>
              <w:jc w:val="center"/>
              <w:rPr>
                <w:rFonts w:ascii="Times New Roman" w:eastAsia="Times New Roman" w:hAnsi="Times New Roman" w:cs="Times New Roman"/>
                <w:sz w:val="24"/>
                <w:szCs w:val="24"/>
              </w:rPr>
            </w:pPr>
          </w:p>
        </w:tc>
      </w:tr>
    </w:tbl>
    <w:p w14:paraId="05F95353" w14:textId="22D82879" w:rsidR="0056179C" w:rsidRPr="004B0DA6" w:rsidRDefault="0056179C" w:rsidP="007A1A19">
      <w:pPr>
        <w:jc w:val="both"/>
        <w:rPr>
          <w:rFonts w:ascii="Times New Roman" w:hAnsi="Times New Roman" w:cs="Times New Roman"/>
          <w:sz w:val="24"/>
          <w:szCs w:val="24"/>
        </w:rPr>
      </w:pPr>
      <w:r w:rsidRPr="004B0DA6">
        <w:rPr>
          <w:rFonts w:ascii="Times New Roman" w:hAnsi="Times New Roman" w:cs="Times New Roman"/>
          <w:sz w:val="24"/>
          <w:szCs w:val="24"/>
        </w:rPr>
        <w:t>Property, plant, and equipment of the ABC Board are depreciated over their useful lives on a straight-line basis as follows:</w:t>
      </w: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1"/>
        <w:gridCol w:w="1802"/>
        <w:gridCol w:w="1802"/>
      </w:tblGrid>
      <w:tr w:rsidR="0056179C" w:rsidRPr="004B0DA6" w14:paraId="53F17E67" w14:textId="77777777" w:rsidTr="00F9386B">
        <w:trPr>
          <w:trHeight w:val="180"/>
        </w:trPr>
        <w:tc>
          <w:tcPr>
            <w:tcW w:w="3971" w:type="dxa"/>
            <w:tcBorders>
              <w:top w:val="nil"/>
              <w:left w:val="nil"/>
              <w:bottom w:val="nil"/>
              <w:right w:val="nil"/>
            </w:tcBorders>
          </w:tcPr>
          <w:p w14:paraId="48FE46CE"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p>
        </w:tc>
        <w:tc>
          <w:tcPr>
            <w:tcW w:w="1802" w:type="dxa"/>
            <w:tcBorders>
              <w:top w:val="nil"/>
              <w:left w:val="nil"/>
              <w:bottom w:val="nil"/>
              <w:right w:val="nil"/>
            </w:tcBorders>
          </w:tcPr>
          <w:p w14:paraId="5DEF3AC1"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p>
        </w:tc>
        <w:tc>
          <w:tcPr>
            <w:tcW w:w="1802" w:type="dxa"/>
            <w:tcBorders>
              <w:top w:val="nil"/>
              <w:left w:val="nil"/>
              <w:bottom w:val="nil"/>
              <w:right w:val="nil"/>
            </w:tcBorders>
          </w:tcPr>
          <w:p w14:paraId="3DADE9DC"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Estimated </w:t>
            </w:r>
          </w:p>
        </w:tc>
      </w:tr>
      <w:tr w:rsidR="0056179C" w:rsidRPr="004B0DA6" w14:paraId="75376867" w14:textId="77777777" w:rsidTr="00F9386B">
        <w:trPr>
          <w:trHeight w:val="180"/>
        </w:trPr>
        <w:tc>
          <w:tcPr>
            <w:tcW w:w="3971" w:type="dxa"/>
            <w:tcBorders>
              <w:top w:val="nil"/>
              <w:left w:val="nil"/>
              <w:bottom w:val="single" w:sz="4" w:space="0" w:color="auto"/>
              <w:right w:val="nil"/>
            </w:tcBorders>
          </w:tcPr>
          <w:p w14:paraId="728B1B51"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Asset Class</w:t>
            </w:r>
          </w:p>
        </w:tc>
        <w:tc>
          <w:tcPr>
            <w:tcW w:w="1802" w:type="dxa"/>
            <w:tcBorders>
              <w:top w:val="nil"/>
              <w:left w:val="nil"/>
              <w:bottom w:val="single" w:sz="4" w:space="0" w:color="auto"/>
              <w:right w:val="nil"/>
            </w:tcBorders>
          </w:tcPr>
          <w:p w14:paraId="5DA3F3D3"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p>
        </w:tc>
        <w:tc>
          <w:tcPr>
            <w:tcW w:w="1802" w:type="dxa"/>
            <w:tcBorders>
              <w:top w:val="nil"/>
              <w:left w:val="nil"/>
              <w:bottom w:val="single" w:sz="4" w:space="0" w:color="auto"/>
              <w:right w:val="nil"/>
            </w:tcBorders>
          </w:tcPr>
          <w:p w14:paraId="75CDDA2A"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Useful Lives</w:t>
            </w:r>
          </w:p>
        </w:tc>
      </w:tr>
      <w:tr w:rsidR="0056179C" w:rsidRPr="004B0DA6" w14:paraId="4E2ED9A4" w14:textId="77777777" w:rsidTr="00F9386B">
        <w:trPr>
          <w:trHeight w:val="180"/>
        </w:trPr>
        <w:tc>
          <w:tcPr>
            <w:tcW w:w="3971" w:type="dxa"/>
            <w:tcBorders>
              <w:top w:val="nil"/>
              <w:left w:val="nil"/>
              <w:bottom w:val="nil"/>
              <w:right w:val="nil"/>
            </w:tcBorders>
          </w:tcPr>
          <w:p w14:paraId="69AD2E07" w14:textId="77777777" w:rsidR="0056179C" w:rsidRPr="004B0DA6" w:rsidRDefault="0056179C" w:rsidP="00026AFF">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Buildings</w:t>
            </w:r>
          </w:p>
        </w:tc>
        <w:tc>
          <w:tcPr>
            <w:tcW w:w="1802" w:type="dxa"/>
            <w:tcBorders>
              <w:top w:val="nil"/>
              <w:left w:val="nil"/>
              <w:bottom w:val="nil"/>
              <w:right w:val="nil"/>
            </w:tcBorders>
          </w:tcPr>
          <w:p w14:paraId="33CBB110"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p>
        </w:tc>
        <w:tc>
          <w:tcPr>
            <w:tcW w:w="1802" w:type="dxa"/>
            <w:tcBorders>
              <w:top w:val="nil"/>
              <w:left w:val="nil"/>
              <w:bottom w:val="nil"/>
              <w:right w:val="nil"/>
            </w:tcBorders>
          </w:tcPr>
          <w:p w14:paraId="28548995"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20</w:t>
            </w:r>
          </w:p>
        </w:tc>
      </w:tr>
      <w:tr w:rsidR="0056179C" w:rsidRPr="004B0DA6" w14:paraId="3310F851" w14:textId="77777777" w:rsidTr="00F9386B">
        <w:trPr>
          <w:trHeight w:val="180"/>
        </w:trPr>
        <w:tc>
          <w:tcPr>
            <w:tcW w:w="3971" w:type="dxa"/>
            <w:tcBorders>
              <w:top w:val="nil"/>
              <w:left w:val="nil"/>
              <w:bottom w:val="nil"/>
              <w:right w:val="nil"/>
            </w:tcBorders>
          </w:tcPr>
          <w:p w14:paraId="7660517A" w14:textId="77777777" w:rsidR="0056179C" w:rsidRPr="004B0DA6" w:rsidRDefault="0056179C" w:rsidP="00026AFF">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Equipment and furniture </w:t>
            </w:r>
          </w:p>
        </w:tc>
        <w:tc>
          <w:tcPr>
            <w:tcW w:w="1802" w:type="dxa"/>
            <w:tcBorders>
              <w:top w:val="nil"/>
              <w:left w:val="nil"/>
              <w:bottom w:val="nil"/>
              <w:right w:val="nil"/>
            </w:tcBorders>
          </w:tcPr>
          <w:p w14:paraId="68229A8C"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p>
        </w:tc>
        <w:tc>
          <w:tcPr>
            <w:tcW w:w="1802" w:type="dxa"/>
            <w:tcBorders>
              <w:top w:val="nil"/>
              <w:left w:val="nil"/>
              <w:bottom w:val="nil"/>
              <w:right w:val="nil"/>
            </w:tcBorders>
          </w:tcPr>
          <w:p w14:paraId="128FD5FD"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10</w:t>
            </w:r>
          </w:p>
        </w:tc>
      </w:tr>
      <w:tr w:rsidR="0056179C" w:rsidRPr="004B0DA6" w14:paraId="155FE1C2" w14:textId="77777777" w:rsidTr="00F9386B">
        <w:trPr>
          <w:trHeight w:val="180"/>
        </w:trPr>
        <w:tc>
          <w:tcPr>
            <w:tcW w:w="3971" w:type="dxa"/>
            <w:tcBorders>
              <w:top w:val="nil"/>
              <w:left w:val="nil"/>
              <w:bottom w:val="nil"/>
              <w:right w:val="nil"/>
            </w:tcBorders>
          </w:tcPr>
          <w:p w14:paraId="2D13181D" w14:textId="77777777" w:rsidR="0056179C" w:rsidRPr="004B0DA6" w:rsidRDefault="0056179C" w:rsidP="00026AFF">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Vehicles</w:t>
            </w:r>
          </w:p>
          <w:p w14:paraId="60B32B1C" w14:textId="40DF39E6" w:rsidR="0056179C" w:rsidRPr="004B0DA6" w:rsidRDefault="0056179C" w:rsidP="00B858E3">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Computers</w:t>
            </w:r>
          </w:p>
        </w:tc>
        <w:tc>
          <w:tcPr>
            <w:tcW w:w="1802" w:type="dxa"/>
            <w:tcBorders>
              <w:top w:val="nil"/>
              <w:left w:val="nil"/>
              <w:bottom w:val="nil"/>
              <w:right w:val="nil"/>
            </w:tcBorders>
          </w:tcPr>
          <w:p w14:paraId="5489ADA2"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p>
        </w:tc>
        <w:tc>
          <w:tcPr>
            <w:tcW w:w="1802" w:type="dxa"/>
            <w:tcBorders>
              <w:top w:val="nil"/>
              <w:left w:val="nil"/>
              <w:bottom w:val="nil"/>
              <w:right w:val="nil"/>
            </w:tcBorders>
          </w:tcPr>
          <w:p w14:paraId="40D6FF3C"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3-5</w:t>
            </w:r>
          </w:p>
          <w:p w14:paraId="130A8368"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3</w:t>
            </w:r>
          </w:p>
        </w:tc>
      </w:tr>
    </w:tbl>
    <w:p w14:paraId="1A649311"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p>
    <w:p w14:paraId="1F6AA082"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p>
    <w:p w14:paraId="589C70F1" w14:textId="77777777" w:rsidR="0056179C" w:rsidRPr="004B0DA6" w:rsidRDefault="0056179C" w:rsidP="00026AFF">
      <w:pPr>
        <w:spacing w:after="0" w:line="240" w:lineRule="auto"/>
        <w:jc w:val="center"/>
        <w:rPr>
          <w:rFonts w:ascii="Times New Roman" w:eastAsia="Times New Roman" w:hAnsi="Times New Roman" w:cs="Times New Roman"/>
          <w:sz w:val="24"/>
          <w:szCs w:val="24"/>
        </w:rPr>
      </w:pPr>
    </w:p>
    <w:p w14:paraId="04A5C5F7" w14:textId="77777777" w:rsidR="0056179C" w:rsidRPr="004B0DA6" w:rsidRDefault="0056179C" w:rsidP="0056179C">
      <w:pPr>
        <w:rPr>
          <w:rFonts w:ascii="Times New Roman" w:hAnsi="Times New Roman" w:cs="Times New Roman"/>
          <w:sz w:val="24"/>
        </w:rPr>
      </w:pPr>
    </w:p>
    <w:p w14:paraId="413B7348" w14:textId="77777777" w:rsidR="0056179C" w:rsidRPr="004B0DA6" w:rsidRDefault="0056179C" w:rsidP="0056179C">
      <w:pPr>
        <w:rPr>
          <w:rFonts w:ascii="Times New Roman" w:hAnsi="Times New Roman" w:cs="Times New Roman"/>
          <w:sz w:val="24"/>
          <w:highlight w:val="yellow"/>
        </w:rPr>
      </w:pPr>
    </w:p>
    <w:p w14:paraId="7B9197DF" w14:textId="77777777" w:rsidR="00F75DE4" w:rsidRPr="004B0DA6" w:rsidRDefault="00F75DE4" w:rsidP="0056179C">
      <w:pPr>
        <w:rPr>
          <w:rFonts w:ascii="Times New Roman" w:hAnsi="Times New Roman" w:cs="Times New Roman"/>
          <w:sz w:val="24"/>
          <w:highlight w:val="yellow"/>
        </w:rPr>
      </w:pPr>
      <w:bookmarkStart w:id="8" w:name="_Hlk86314072"/>
    </w:p>
    <w:p w14:paraId="0807E009" w14:textId="75D4B0DA" w:rsidR="0056179C" w:rsidRPr="004B0DA6" w:rsidRDefault="00051B50" w:rsidP="0056179C">
      <w:pPr>
        <w:rPr>
          <w:rFonts w:ascii="Times New Roman" w:hAnsi="Times New Roman" w:cs="Times New Roman"/>
          <w:sz w:val="24"/>
        </w:rPr>
      </w:pPr>
      <w:r w:rsidRPr="004B0DA6">
        <w:rPr>
          <w:rFonts w:ascii="Times New Roman" w:hAnsi="Times New Roman" w:cs="Times New Roman"/>
          <w:sz w:val="24"/>
        </w:rPr>
        <w:t>9</w:t>
      </w:r>
      <w:r w:rsidR="0056179C" w:rsidRPr="004B0DA6">
        <w:rPr>
          <w:rFonts w:ascii="Times New Roman" w:hAnsi="Times New Roman" w:cs="Times New Roman"/>
          <w:sz w:val="24"/>
        </w:rPr>
        <w:t>.</w:t>
      </w:r>
      <w:r w:rsidR="00B858E3" w:rsidRPr="004B0DA6">
        <w:rPr>
          <w:rFonts w:ascii="Times New Roman" w:hAnsi="Times New Roman" w:cs="Times New Roman"/>
          <w:sz w:val="24"/>
        </w:rPr>
        <w:t xml:space="preserve"> </w:t>
      </w:r>
      <w:r w:rsidR="0056179C" w:rsidRPr="004B0DA6">
        <w:rPr>
          <w:rFonts w:ascii="Times New Roman" w:hAnsi="Times New Roman" w:cs="Times New Roman"/>
          <w:sz w:val="24"/>
        </w:rPr>
        <w:t>Deferred outflows/inflows of resources</w:t>
      </w:r>
    </w:p>
    <w:p w14:paraId="4147A7D4" w14:textId="1010C4C7"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sz w:val="24"/>
        </w:rPr>
        <w:t xml:space="preserve">In addition to assets, the statement of financial position will sometimes report a separate section for deferred outflows of resources.  This separate financial statement element, </w:t>
      </w:r>
      <w:r w:rsidRPr="004B0DA6">
        <w:rPr>
          <w:rFonts w:ascii="Times New Roman" w:hAnsi="Times New Roman" w:cs="Times New Roman"/>
          <w:i/>
          <w:sz w:val="24"/>
        </w:rPr>
        <w:t>Deferred Outflows of Resources</w:t>
      </w:r>
      <w:r w:rsidRPr="004B0DA6">
        <w:rPr>
          <w:rFonts w:ascii="Times New Roman" w:hAnsi="Times New Roman" w:cs="Times New Roman"/>
          <w:sz w:val="24"/>
        </w:rPr>
        <w:t xml:space="preserve">, represents a consumption of net position that applies to a future period and so will not be recognized as an expense or expenditure until then.  </w:t>
      </w:r>
      <w:r w:rsidR="001E2989" w:rsidRPr="004B0DA6">
        <w:rPr>
          <w:rFonts w:ascii="Times New Roman" w:hAnsi="Times New Roman" w:cs="Times New Roman"/>
          <w:sz w:val="24"/>
        </w:rPr>
        <w:t>For the 202</w:t>
      </w:r>
      <w:r w:rsidR="0013633E" w:rsidRPr="004B0DA6">
        <w:rPr>
          <w:rFonts w:ascii="Times New Roman" w:hAnsi="Times New Roman" w:cs="Times New Roman"/>
          <w:sz w:val="24"/>
        </w:rPr>
        <w:t>4</w:t>
      </w:r>
      <w:r w:rsidR="001E2989" w:rsidRPr="004B0DA6">
        <w:rPr>
          <w:rFonts w:ascii="Times New Roman" w:hAnsi="Times New Roman" w:cs="Times New Roman"/>
          <w:sz w:val="24"/>
        </w:rPr>
        <w:t xml:space="preserve"> fiscal year the </w:t>
      </w:r>
      <w:r w:rsidRPr="004B0DA6">
        <w:rPr>
          <w:rFonts w:ascii="Times New Roman" w:hAnsi="Times New Roman" w:cs="Times New Roman"/>
          <w:sz w:val="24"/>
        </w:rPr>
        <w:t>City has three items that meet this criterion, pension deferrals</w:t>
      </w:r>
      <w:r w:rsidR="001E2989" w:rsidRPr="004B0DA6">
        <w:rPr>
          <w:rFonts w:ascii="Times New Roman" w:hAnsi="Times New Roman" w:cs="Times New Roman"/>
          <w:sz w:val="24"/>
        </w:rPr>
        <w:t>,</w:t>
      </w:r>
      <w:r w:rsidRPr="004B0DA6">
        <w:rPr>
          <w:rFonts w:ascii="Times New Roman" w:hAnsi="Times New Roman" w:cs="Times New Roman"/>
          <w:sz w:val="24"/>
        </w:rPr>
        <w:t xml:space="preserve"> OPEB deferrals and an unamortized loss on a bond defeasance for Water and Sewer refunding bonds.  In addition to liabilities, the statement of financial position will sometimes report a separate section for deferred inflows of resources.  This separate financial statement element, </w:t>
      </w:r>
      <w:r w:rsidRPr="004B0DA6">
        <w:rPr>
          <w:rFonts w:ascii="Times New Roman" w:hAnsi="Times New Roman" w:cs="Times New Roman"/>
          <w:i/>
          <w:sz w:val="24"/>
        </w:rPr>
        <w:t>Deferred Inflows of Resources</w:t>
      </w:r>
      <w:r w:rsidRPr="004B0DA6">
        <w:rPr>
          <w:rFonts w:ascii="Times New Roman" w:hAnsi="Times New Roman" w:cs="Times New Roman"/>
          <w:sz w:val="24"/>
        </w:rPr>
        <w:t>, represents an acquisition of net position that applies to a future period and so will not be recognized as revenue until then.  The City has several items that meet the criterion for this category</w:t>
      </w:r>
      <w:r w:rsidR="001E2989" w:rsidRPr="004B0DA6">
        <w:rPr>
          <w:rFonts w:ascii="Times New Roman" w:hAnsi="Times New Roman" w:cs="Times New Roman"/>
          <w:sz w:val="24"/>
        </w:rPr>
        <w:t>,</w:t>
      </w:r>
      <w:r w:rsidRPr="004B0DA6">
        <w:rPr>
          <w:rFonts w:ascii="Times New Roman" w:hAnsi="Times New Roman" w:cs="Times New Roman"/>
          <w:sz w:val="24"/>
        </w:rPr>
        <w:t xml:space="preserve"> prepaid taxes, property taxes receivable</w:t>
      </w:r>
      <w:r w:rsidR="00181728" w:rsidRPr="004B0DA6">
        <w:rPr>
          <w:rFonts w:ascii="Times New Roman" w:hAnsi="Times New Roman" w:cs="Times New Roman"/>
          <w:sz w:val="24"/>
        </w:rPr>
        <w:t xml:space="preserve"> unavailable revenues</w:t>
      </w:r>
      <w:r w:rsidR="001E2989" w:rsidRPr="004B0DA6">
        <w:rPr>
          <w:rFonts w:ascii="Times New Roman" w:hAnsi="Times New Roman" w:cs="Times New Roman"/>
          <w:sz w:val="24"/>
        </w:rPr>
        <w:t xml:space="preserve"> (reported only on the Balance Sheet of the Governmental Funds)</w:t>
      </w:r>
      <w:r w:rsidRPr="004B0DA6">
        <w:rPr>
          <w:rFonts w:ascii="Times New Roman" w:hAnsi="Times New Roman" w:cs="Times New Roman"/>
          <w:sz w:val="24"/>
        </w:rPr>
        <w:t xml:space="preserve">, </w:t>
      </w:r>
      <w:r w:rsidR="0037269F" w:rsidRPr="004B0DA6">
        <w:rPr>
          <w:rFonts w:ascii="Times New Roman" w:hAnsi="Times New Roman" w:cs="Times New Roman"/>
          <w:sz w:val="24"/>
        </w:rPr>
        <w:t>lease</w:t>
      </w:r>
      <w:r w:rsidR="0079599D" w:rsidRPr="004B0DA6">
        <w:rPr>
          <w:rFonts w:ascii="Times New Roman" w:hAnsi="Times New Roman" w:cs="Times New Roman"/>
          <w:sz w:val="24"/>
        </w:rPr>
        <w:t>s</w:t>
      </w:r>
      <w:r w:rsidR="0037269F" w:rsidRPr="004B0DA6">
        <w:rPr>
          <w:rFonts w:ascii="Times New Roman" w:hAnsi="Times New Roman" w:cs="Times New Roman"/>
          <w:sz w:val="24"/>
        </w:rPr>
        <w:t xml:space="preserve">, </w:t>
      </w:r>
      <w:r w:rsidRPr="004B0DA6">
        <w:rPr>
          <w:rFonts w:ascii="Times New Roman" w:hAnsi="Times New Roman" w:cs="Times New Roman"/>
          <w:sz w:val="24"/>
        </w:rPr>
        <w:t>and pension and OPEB deferrals.</w:t>
      </w:r>
    </w:p>
    <w:p w14:paraId="43F41E4B" w14:textId="51FF4678" w:rsidR="00203597" w:rsidRPr="004B0DA6" w:rsidRDefault="00203597" w:rsidP="0056179C">
      <w:pPr>
        <w:jc w:val="both"/>
        <w:rPr>
          <w:rFonts w:ascii="Times New Roman" w:hAnsi="Times New Roman" w:cs="Times New Roman"/>
          <w:sz w:val="24"/>
        </w:rPr>
      </w:pPr>
    </w:p>
    <w:p w14:paraId="493F46CE" w14:textId="0DFF5DE5" w:rsidR="00203597" w:rsidRPr="004B0DA6" w:rsidRDefault="00203597" w:rsidP="0056179C">
      <w:pPr>
        <w:jc w:val="both"/>
        <w:rPr>
          <w:rFonts w:ascii="Times New Roman" w:hAnsi="Times New Roman" w:cs="Times New Roman"/>
          <w:sz w:val="24"/>
        </w:rPr>
      </w:pPr>
    </w:p>
    <w:p w14:paraId="18C1E0ED" w14:textId="77777777" w:rsidR="00203597" w:rsidRPr="004B0DA6" w:rsidRDefault="00203597" w:rsidP="0056179C">
      <w:pPr>
        <w:jc w:val="both"/>
        <w:rPr>
          <w:rFonts w:ascii="Times New Roman" w:hAnsi="Times New Roman" w:cs="Times New Roman"/>
          <w:sz w:val="24"/>
        </w:rPr>
      </w:pPr>
    </w:p>
    <w:bookmarkEnd w:id="8"/>
    <w:p w14:paraId="6914B030" w14:textId="2FE9E89E" w:rsidR="001E170F" w:rsidRPr="004B0DA6" w:rsidRDefault="001E170F" w:rsidP="001E170F">
      <w:pPr>
        <w:pBdr>
          <w:top w:val="thickThinSmallGap" w:sz="24" w:space="1" w:color="auto"/>
          <w:left w:val="thickThinSmallGap" w:sz="24" w:space="4" w:color="auto"/>
          <w:bottom w:val="thickThinSmallGap" w:sz="24" w:space="1" w:color="auto"/>
          <w:right w:val="thickThinSmallGap" w:sz="24" w:space="4" w:color="auto"/>
        </w:pBdr>
        <w:jc w:val="both"/>
        <w:rPr>
          <w:rFonts w:ascii="Times New Roman" w:hAnsi="Times New Roman" w:cs="Times New Roman"/>
        </w:rPr>
      </w:pPr>
      <w:r w:rsidRPr="004B0DA6">
        <w:rPr>
          <w:rFonts w:ascii="Times New Roman" w:hAnsi="Times New Roman" w:cs="Times New Roman"/>
          <w:b/>
        </w:rPr>
        <w:lastRenderedPageBreak/>
        <w:t>Note to preparer</w:t>
      </w:r>
      <w:r w:rsidRPr="004B0DA6">
        <w:rPr>
          <w:rFonts w:ascii="Times New Roman" w:hAnsi="Times New Roman" w:cs="Times New Roman"/>
        </w:rPr>
        <w:t xml:space="preserve">:  The deferred inflows of resources based on the taxes receivable amount does not include the portion related to penalties levied on the ad valorem taxes.  As a reminder, penalties should be turned over to the local educational agency (LEA). These penalties will not be due to the LEA until received.  Therefore, they should not be included in deferred inflows of resources. When cash is finally received for these penalties, it will immediately be set aside for the LEA in the Fines and Forfeitures Special Revenue Fund (formerly the Agency fund prior to the implementation of GASB Statement No. 84).  </w:t>
      </w:r>
    </w:p>
    <w:p w14:paraId="269F61B1" w14:textId="77777777" w:rsidR="00026AFF" w:rsidRPr="004B0DA6" w:rsidRDefault="00026AFF" w:rsidP="00203597">
      <w:pPr>
        <w:spacing w:after="0"/>
        <w:jc w:val="both"/>
        <w:rPr>
          <w:rFonts w:ascii="Times New Roman" w:hAnsi="Times New Roman" w:cs="Times New Roman"/>
          <w:sz w:val="24"/>
        </w:rPr>
      </w:pPr>
    </w:p>
    <w:p w14:paraId="74FE5278" w14:textId="77777777" w:rsidR="0056179C" w:rsidRPr="004B0DA6" w:rsidRDefault="0056179C" w:rsidP="00203597">
      <w:pPr>
        <w:pBdr>
          <w:top w:val="thickThinSmallGap" w:sz="24" w:space="1" w:color="auto"/>
          <w:left w:val="thickThinSmallGap" w:sz="24" w:space="4" w:color="auto"/>
          <w:bottom w:val="thickThinSmallGap" w:sz="24" w:space="1" w:color="auto"/>
          <w:right w:val="thickThinSmallGap" w:sz="24" w:space="4" w:color="auto"/>
        </w:pBdr>
        <w:spacing w:after="0"/>
        <w:jc w:val="both"/>
        <w:rPr>
          <w:rFonts w:ascii="Times New Roman" w:hAnsi="Times New Roman" w:cs="Times New Roman"/>
          <w:sz w:val="24"/>
        </w:rPr>
      </w:pPr>
      <w:r w:rsidRPr="004B0DA6">
        <w:rPr>
          <w:rFonts w:ascii="Times New Roman" w:hAnsi="Times New Roman" w:cs="Times New Roman"/>
          <w:b/>
          <w:sz w:val="24"/>
        </w:rPr>
        <w:t>Note to preparer</w:t>
      </w:r>
      <w:r w:rsidRPr="004B0DA6">
        <w:rPr>
          <w:rFonts w:ascii="Times New Roman" w:hAnsi="Times New Roman" w:cs="Times New Roman"/>
          <w:sz w:val="24"/>
        </w:rPr>
        <w:t xml:space="preserve">: The implementation of Tag and Tax Together deems prepaid motor vehicle property taxes obsolete.  Prepaid property taxes will not include taxes paid on motor vehicles.  </w:t>
      </w:r>
    </w:p>
    <w:p w14:paraId="5909CA53" w14:textId="77777777" w:rsidR="0056179C" w:rsidRPr="004B0DA6" w:rsidRDefault="0056179C" w:rsidP="00203597">
      <w:pPr>
        <w:spacing w:after="0"/>
        <w:rPr>
          <w:rFonts w:ascii="Times New Roman" w:hAnsi="Times New Roman" w:cs="Times New Roman"/>
          <w:sz w:val="24"/>
          <w:u w:val="single"/>
        </w:rPr>
      </w:pPr>
    </w:p>
    <w:p w14:paraId="0D0CE0D2" w14:textId="11B557B0" w:rsidR="0056179C" w:rsidRPr="004B0DA6" w:rsidRDefault="00051B50" w:rsidP="0056179C">
      <w:pPr>
        <w:rPr>
          <w:rFonts w:ascii="Times New Roman" w:hAnsi="Times New Roman" w:cs="Times New Roman"/>
          <w:sz w:val="24"/>
        </w:rPr>
      </w:pPr>
      <w:r w:rsidRPr="004B0DA6">
        <w:rPr>
          <w:rFonts w:ascii="Times New Roman" w:hAnsi="Times New Roman" w:cs="Times New Roman"/>
          <w:sz w:val="24"/>
          <w:u w:val="single"/>
        </w:rPr>
        <w:t>10</w:t>
      </w:r>
      <w:r w:rsidR="0056179C" w:rsidRPr="004B0DA6">
        <w:rPr>
          <w:rFonts w:ascii="Times New Roman" w:hAnsi="Times New Roman" w:cs="Times New Roman"/>
          <w:sz w:val="24"/>
          <w:u w:val="single"/>
        </w:rPr>
        <w:t>. Long-Term Obligations</w:t>
      </w:r>
    </w:p>
    <w:p w14:paraId="686457C3" w14:textId="2A91A015" w:rsidR="0056179C" w:rsidRPr="004B0DA6" w:rsidRDefault="0056179C" w:rsidP="0056179C">
      <w:pPr>
        <w:jc w:val="both"/>
        <w:rPr>
          <w:rFonts w:ascii="Times New Roman" w:hAnsi="Times New Roman" w:cs="Times New Roman"/>
          <w:sz w:val="24"/>
        </w:rPr>
      </w:pPr>
      <w:r w:rsidRPr="004B0DA6">
        <w:rPr>
          <w:rFonts w:ascii="Times New Roman" w:hAnsi="Times New Roman" w:cs="Times New Roman"/>
          <w:sz w:val="24"/>
        </w:rPr>
        <w:t xml:space="preserve">In the government-wide financial statements, and proprietary fund types in the fund financial statements, long-term debt and other long-term obligations are reported as liabilities in the applicable governmental activities, business-type activities, or proprietary fund type statement of net position. Bond premiums and discounts are deferred and amortized over the life of the bonds using the straight-line method that approximates the effective interest method. Bonds </w:t>
      </w:r>
      <w:proofErr w:type="gramStart"/>
      <w:r w:rsidRPr="004B0DA6">
        <w:rPr>
          <w:rFonts w:ascii="Times New Roman" w:hAnsi="Times New Roman" w:cs="Times New Roman"/>
          <w:sz w:val="24"/>
        </w:rPr>
        <w:t>payable</w:t>
      </w:r>
      <w:proofErr w:type="gramEnd"/>
      <w:r w:rsidRPr="004B0DA6">
        <w:rPr>
          <w:rFonts w:ascii="Times New Roman" w:hAnsi="Times New Roman" w:cs="Times New Roman"/>
          <w:sz w:val="24"/>
        </w:rPr>
        <w:t xml:space="preserve"> are reported net of the applicable bond premiums or discount. Bond issuance costs, except for prepaid insurance costs, are expensed in the reporting period in which they are incurred.  Prepaid insurance costs are expensed over the life of the debt. </w:t>
      </w:r>
    </w:p>
    <w:p w14:paraId="6C87C26E" w14:textId="77777777"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In fund financial statements, governmental fund types recognize bond premiums and discounts, as well as bond issuance costs, during the current period. The face amount of debt issued is reported as other financing sources. Premiums received on debt issuances are reported as other financing sources while discounts on debt issuances are reported as other financing uses. Issuance costs, whether withheld from the actual debt proceeds received or not, are reported as debt service expenditures.</w:t>
      </w:r>
    </w:p>
    <w:p w14:paraId="0AA53A24" w14:textId="77777777" w:rsidR="00203597" w:rsidRPr="004B0DA6" w:rsidRDefault="00203597" w:rsidP="00203597">
      <w:pPr>
        <w:spacing w:after="0"/>
        <w:rPr>
          <w:rFonts w:ascii="Times New Roman" w:hAnsi="Times New Roman" w:cs="Times New Roman"/>
          <w:sz w:val="24"/>
          <w:highlight w:val="yellow"/>
        </w:rPr>
      </w:pPr>
    </w:p>
    <w:p w14:paraId="54833809" w14:textId="12315C0E" w:rsidR="0056179C" w:rsidRPr="004B0DA6" w:rsidRDefault="0056179C" w:rsidP="0056179C">
      <w:pPr>
        <w:rPr>
          <w:rFonts w:ascii="Times New Roman" w:hAnsi="Times New Roman" w:cs="Times New Roman"/>
          <w:sz w:val="24"/>
        </w:rPr>
      </w:pPr>
      <w:r w:rsidRPr="004B0DA6">
        <w:rPr>
          <w:rFonts w:ascii="Times New Roman" w:hAnsi="Times New Roman" w:cs="Times New Roman"/>
          <w:sz w:val="24"/>
        </w:rPr>
        <w:t>1</w:t>
      </w:r>
      <w:r w:rsidR="00051B50" w:rsidRPr="004B0DA6">
        <w:rPr>
          <w:rFonts w:ascii="Times New Roman" w:hAnsi="Times New Roman" w:cs="Times New Roman"/>
          <w:sz w:val="24"/>
        </w:rPr>
        <w:t>1</w:t>
      </w:r>
      <w:r w:rsidRPr="004B0DA6">
        <w:rPr>
          <w:rFonts w:ascii="Times New Roman" w:hAnsi="Times New Roman" w:cs="Times New Roman"/>
          <w:sz w:val="24"/>
        </w:rPr>
        <w:t xml:space="preserve">. </w:t>
      </w:r>
      <w:r w:rsidRPr="004B0DA6">
        <w:rPr>
          <w:rFonts w:ascii="Times New Roman" w:hAnsi="Times New Roman" w:cs="Times New Roman"/>
          <w:sz w:val="24"/>
          <w:u w:val="single"/>
        </w:rPr>
        <w:t>Compensated Absences</w:t>
      </w:r>
    </w:p>
    <w:p w14:paraId="0EBA3C61" w14:textId="457C6F98" w:rsidR="0056179C" w:rsidRPr="004B0DA6" w:rsidRDefault="0056179C" w:rsidP="003626E3">
      <w:pPr>
        <w:jc w:val="both"/>
        <w:rPr>
          <w:rFonts w:ascii="Times New Roman" w:hAnsi="Times New Roman" w:cs="Times New Roman"/>
          <w:sz w:val="24"/>
        </w:rPr>
      </w:pPr>
      <w:r w:rsidRPr="004B0DA6">
        <w:rPr>
          <w:rFonts w:ascii="Times New Roman" w:hAnsi="Times New Roman" w:cs="Times New Roman"/>
          <w:sz w:val="24"/>
        </w:rPr>
        <w:t xml:space="preserve">The vacation policy of the City provides for the accumulation of up to thirty days earned vacation leave with such leave being fully vested when earned. For the City's government-wide and proprietary funds, an expense and a liability for compensated absences and the salary-related payments are recorded as the leave is earned.  The City has assumed a first-in, first-out method of using accumulated compensated time.  The portion of that time that is estimated to be used in the next fiscal year has been designated as a current liability in the government-wide financial statements. </w:t>
      </w:r>
    </w:p>
    <w:p w14:paraId="2E61E5B4" w14:textId="2208153C" w:rsidR="0056179C" w:rsidRPr="004B0DA6" w:rsidRDefault="0056179C" w:rsidP="003626E3">
      <w:pPr>
        <w:jc w:val="both"/>
        <w:rPr>
          <w:rFonts w:ascii="Times New Roman" w:hAnsi="Times New Roman" w:cs="Times New Roman"/>
          <w:sz w:val="24"/>
          <w:szCs w:val="24"/>
        </w:rPr>
      </w:pPr>
      <w:r w:rsidRPr="004B0DA6">
        <w:rPr>
          <w:rFonts w:ascii="Times New Roman" w:hAnsi="Times New Roman" w:cs="Times New Roman"/>
          <w:sz w:val="24"/>
        </w:rPr>
        <w:t xml:space="preserve">The City's sick leave policy provides for an unlimited accumulation of earned sick leave.  Sick leave does not vest, but any unused sick leave accumulated at the time of retirement may be used in the determination of length of service for retirement benefit purposes.  Since the City does not have any obligation for the accumulated sick leave until it is taken, no accrual for sick leave has </w:t>
      </w:r>
      <w:r w:rsidRPr="004B0DA6">
        <w:rPr>
          <w:rFonts w:ascii="Times New Roman" w:hAnsi="Times New Roman" w:cs="Times New Roman"/>
          <w:sz w:val="24"/>
          <w:szCs w:val="24"/>
        </w:rPr>
        <w:t>been made.</w:t>
      </w:r>
      <w:r w:rsidR="00530D3B" w:rsidRPr="004B0DA6">
        <w:rPr>
          <w:rFonts w:ascii="Times New Roman" w:hAnsi="Times New Roman" w:cs="Times New Roman"/>
          <w:sz w:val="24"/>
          <w:szCs w:val="24"/>
        </w:rPr>
        <w:t xml:space="preserve"> </w:t>
      </w:r>
    </w:p>
    <w:p w14:paraId="6D4BC2EC" w14:textId="5FF78F48" w:rsidR="0056179C" w:rsidRPr="004B0DA6" w:rsidRDefault="0056179C" w:rsidP="0056179C">
      <w:pPr>
        <w:rPr>
          <w:rFonts w:ascii="Times New Roman" w:hAnsi="Times New Roman" w:cs="Times New Roman"/>
          <w:sz w:val="24"/>
          <w:szCs w:val="24"/>
          <w:u w:val="single"/>
        </w:rPr>
      </w:pPr>
      <w:bookmarkStart w:id="9" w:name="_Hlk86314297"/>
      <w:r w:rsidRPr="004B0DA6">
        <w:rPr>
          <w:rFonts w:ascii="Times New Roman" w:hAnsi="Times New Roman" w:cs="Times New Roman"/>
          <w:sz w:val="24"/>
          <w:szCs w:val="24"/>
        </w:rPr>
        <w:lastRenderedPageBreak/>
        <w:t>1</w:t>
      </w:r>
      <w:r w:rsidR="00051B50" w:rsidRPr="004B0DA6">
        <w:rPr>
          <w:rFonts w:ascii="Times New Roman" w:hAnsi="Times New Roman" w:cs="Times New Roman"/>
          <w:sz w:val="24"/>
          <w:szCs w:val="24"/>
        </w:rPr>
        <w:t>2</w:t>
      </w:r>
      <w:r w:rsidRPr="004B0DA6">
        <w:rPr>
          <w:rFonts w:ascii="Times New Roman" w:hAnsi="Times New Roman" w:cs="Times New Roman"/>
          <w:sz w:val="24"/>
          <w:szCs w:val="24"/>
        </w:rPr>
        <w:t xml:space="preserve">.  </w:t>
      </w:r>
      <w:r w:rsidRPr="004B0DA6">
        <w:rPr>
          <w:rFonts w:ascii="Times New Roman" w:hAnsi="Times New Roman" w:cs="Times New Roman"/>
          <w:sz w:val="24"/>
          <w:szCs w:val="24"/>
          <w:u w:val="single"/>
        </w:rPr>
        <w:t>Net Position/Fund Balances</w:t>
      </w:r>
    </w:p>
    <w:p w14:paraId="25432F93" w14:textId="1502356E" w:rsidR="0056179C" w:rsidRPr="004B0DA6" w:rsidRDefault="0056179C" w:rsidP="0056179C">
      <w:pPr>
        <w:rPr>
          <w:rFonts w:ascii="Times New Roman" w:hAnsi="Times New Roman" w:cs="Times New Roman"/>
          <w:sz w:val="24"/>
          <w:szCs w:val="24"/>
          <w:u w:val="single"/>
        </w:rPr>
      </w:pPr>
      <w:r w:rsidRPr="004B0DA6">
        <w:rPr>
          <w:rFonts w:ascii="Times New Roman" w:hAnsi="Times New Roman" w:cs="Times New Roman"/>
          <w:sz w:val="24"/>
          <w:szCs w:val="24"/>
          <w:u w:val="single"/>
        </w:rPr>
        <w:t>Net Position</w:t>
      </w:r>
    </w:p>
    <w:p w14:paraId="1D84EE06" w14:textId="77777777" w:rsidR="0056179C" w:rsidRPr="004B0DA6" w:rsidRDefault="0056179C" w:rsidP="003626E3">
      <w:pPr>
        <w:pStyle w:val="BodyText2"/>
        <w:jc w:val="both"/>
        <w:rPr>
          <w:rFonts w:ascii="Times New Roman" w:hAnsi="Times New Roman" w:cs="Times New Roman"/>
          <w:sz w:val="24"/>
        </w:rPr>
      </w:pPr>
      <w:r w:rsidRPr="004B0DA6">
        <w:rPr>
          <w:rFonts w:ascii="Times New Roman" w:hAnsi="Times New Roman" w:cs="Times New Roman"/>
          <w:sz w:val="24"/>
        </w:rPr>
        <w:t>Net position in government-wide and proprietary fund financial statements are classified as net investment in capital assets, restricted, and unrestricted. Restricted net position represents constraints on resources that are externally imposed either by creditors, grantors, contributors, or laws or regulations of other governments or imposed by law through state statute.</w:t>
      </w:r>
    </w:p>
    <w:p w14:paraId="0FAC2AEF" w14:textId="77777777" w:rsidR="0056179C" w:rsidRPr="004B0DA6" w:rsidRDefault="0056179C" w:rsidP="0056179C">
      <w:pPr>
        <w:pStyle w:val="BodyText2"/>
        <w:rPr>
          <w:rFonts w:ascii="Times New Roman" w:hAnsi="Times New Roman" w:cs="Times New Roman"/>
          <w:sz w:val="24"/>
        </w:rPr>
      </w:pPr>
    </w:p>
    <w:p w14:paraId="6DF26FFB" w14:textId="10733EAE" w:rsidR="0056179C" w:rsidRPr="004B0DA6" w:rsidRDefault="0056179C" w:rsidP="003626E3">
      <w:pPr>
        <w:pStyle w:val="BodyText2"/>
        <w:rPr>
          <w:rFonts w:ascii="Times New Roman" w:hAnsi="Times New Roman" w:cs="Times New Roman"/>
          <w:sz w:val="24"/>
          <w:u w:val="single"/>
        </w:rPr>
      </w:pPr>
      <w:r w:rsidRPr="004B0DA6">
        <w:rPr>
          <w:rFonts w:ascii="Times New Roman" w:hAnsi="Times New Roman" w:cs="Times New Roman"/>
          <w:sz w:val="24"/>
          <w:u w:val="single"/>
        </w:rPr>
        <w:t>Fund Balances</w:t>
      </w:r>
    </w:p>
    <w:p w14:paraId="30385741" w14:textId="77777777" w:rsidR="003626E3" w:rsidRPr="004B0DA6" w:rsidRDefault="003626E3" w:rsidP="003626E3">
      <w:pPr>
        <w:pStyle w:val="BodyText2"/>
        <w:rPr>
          <w:rFonts w:ascii="Times New Roman" w:hAnsi="Times New Roman" w:cs="Times New Roman"/>
          <w:sz w:val="24"/>
          <w:u w:val="single"/>
        </w:rPr>
      </w:pPr>
    </w:p>
    <w:p w14:paraId="1BCBE92C" w14:textId="26BF05A6" w:rsidR="0056179C" w:rsidRPr="004B0DA6" w:rsidRDefault="0056179C" w:rsidP="0056179C">
      <w:pPr>
        <w:jc w:val="both"/>
        <w:rPr>
          <w:rFonts w:ascii="Times New Roman" w:hAnsi="Times New Roman" w:cs="Times New Roman"/>
          <w:sz w:val="24"/>
          <w:szCs w:val="24"/>
        </w:rPr>
      </w:pPr>
      <w:r w:rsidRPr="004B0DA6">
        <w:rPr>
          <w:rFonts w:ascii="Times New Roman" w:hAnsi="Times New Roman" w:cs="Times New Roman"/>
          <w:sz w:val="24"/>
          <w:szCs w:val="24"/>
        </w:rPr>
        <w:t xml:space="preserve">In the governmental fund financial statements, fund balance is composed of five classifications designed to disclose the hierarchy of constraints placed on how fund balance can be spent.  </w:t>
      </w:r>
    </w:p>
    <w:p w14:paraId="042247E1" w14:textId="7C781B5F" w:rsidR="0056179C" w:rsidRPr="004B0DA6" w:rsidRDefault="0056179C" w:rsidP="0056179C">
      <w:pPr>
        <w:keepNext/>
        <w:jc w:val="both"/>
        <w:rPr>
          <w:rFonts w:ascii="Times New Roman" w:hAnsi="Times New Roman" w:cs="Times New Roman"/>
          <w:sz w:val="24"/>
        </w:rPr>
      </w:pPr>
      <w:r w:rsidRPr="004B0DA6">
        <w:rPr>
          <w:rFonts w:ascii="Times New Roman" w:hAnsi="Times New Roman" w:cs="Times New Roman"/>
          <w:sz w:val="24"/>
        </w:rPr>
        <w:t>The governmental fund types classify fund balances as follows:</w:t>
      </w:r>
    </w:p>
    <w:p w14:paraId="3B72E0A6" w14:textId="7B9DDC9A" w:rsidR="0056179C" w:rsidRPr="004B0DA6" w:rsidRDefault="0056179C" w:rsidP="003626E3">
      <w:pPr>
        <w:keepNext/>
        <w:jc w:val="both"/>
        <w:rPr>
          <w:rFonts w:ascii="Times New Roman" w:hAnsi="Times New Roman" w:cs="Times New Roman"/>
          <w:sz w:val="24"/>
        </w:rPr>
      </w:pPr>
      <w:r w:rsidRPr="004B0DA6">
        <w:rPr>
          <w:rFonts w:ascii="Times New Roman" w:hAnsi="Times New Roman" w:cs="Times New Roman"/>
          <w:sz w:val="24"/>
        </w:rPr>
        <w:t>Nonspendable Fund Balance – This classification includes amounts that cannot be spent because they are either (a) not in spendable form or (b) legally or contractually required to be maintained intact.</w:t>
      </w:r>
    </w:p>
    <w:p w14:paraId="2C03857D" w14:textId="4CA25284" w:rsidR="0056179C" w:rsidRPr="004B0DA6" w:rsidRDefault="0056179C" w:rsidP="003626E3">
      <w:pPr>
        <w:ind w:left="720"/>
        <w:jc w:val="both"/>
        <w:rPr>
          <w:rFonts w:ascii="Times New Roman" w:hAnsi="Times New Roman" w:cs="Times New Roman"/>
          <w:sz w:val="24"/>
        </w:rPr>
      </w:pPr>
      <w:r w:rsidRPr="004B0DA6">
        <w:rPr>
          <w:rFonts w:ascii="Times New Roman" w:hAnsi="Times New Roman" w:cs="Times New Roman"/>
          <w:sz w:val="24"/>
        </w:rPr>
        <w:t xml:space="preserve">Inventories - portion of fund balance that is </w:t>
      </w:r>
      <w:r w:rsidRPr="004B0DA6">
        <w:rPr>
          <w:rFonts w:ascii="Times New Roman" w:hAnsi="Times New Roman" w:cs="Times New Roman"/>
          <w:sz w:val="24"/>
          <w:u w:val="single"/>
        </w:rPr>
        <w:t>not</w:t>
      </w:r>
      <w:r w:rsidRPr="004B0DA6">
        <w:rPr>
          <w:rFonts w:ascii="Times New Roman" w:hAnsi="Times New Roman" w:cs="Times New Roman"/>
          <w:sz w:val="24"/>
        </w:rPr>
        <w:t xml:space="preserve"> an available resource because it represents the year-end balance of ending inventories, which are not spendable resources.</w:t>
      </w:r>
    </w:p>
    <w:p w14:paraId="0A4462CE" w14:textId="1F98DB16" w:rsidR="007E0FED" w:rsidRPr="004B0DA6" w:rsidRDefault="007E0FED" w:rsidP="003626E3">
      <w:pPr>
        <w:ind w:left="720"/>
        <w:jc w:val="both"/>
        <w:rPr>
          <w:rFonts w:ascii="Times New Roman" w:hAnsi="Times New Roman" w:cs="Times New Roman"/>
          <w:sz w:val="24"/>
        </w:rPr>
      </w:pPr>
      <w:bookmarkStart w:id="10" w:name="_Hlk91749819"/>
      <w:r w:rsidRPr="004B0DA6">
        <w:rPr>
          <w:rFonts w:ascii="Times New Roman" w:hAnsi="Times New Roman" w:cs="Times New Roman"/>
          <w:sz w:val="24"/>
        </w:rPr>
        <w:t>Lease</w:t>
      </w:r>
      <w:r w:rsidR="0079599D" w:rsidRPr="004B0DA6">
        <w:rPr>
          <w:rFonts w:ascii="Times New Roman" w:hAnsi="Times New Roman" w:cs="Times New Roman"/>
          <w:sz w:val="24"/>
        </w:rPr>
        <w:t>s</w:t>
      </w:r>
      <w:r w:rsidRPr="004B0DA6">
        <w:rPr>
          <w:rFonts w:ascii="Times New Roman" w:hAnsi="Times New Roman" w:cs="Times New Roman"/>
          <w:sz w:val="24"/>
        </w:rPr>
        <w:t xml:space="preserve"> – portion of fund balance that is not an available resource because it represents the year-end balance of the lease receivable </w:t>
      </w:r>
      <w:proofErr w:type="gramStart"/>
      <w:r w:rsidRPr="004B0DA6">
        <w:rPr>
          <w:rFonts w:ascii="Times New Roman" w:hAnsi="Times New Roman" w:cs="Times New Roman"/>
          <w:sz w:val="24"/>
        </w:rPr>
        <w:t>in excess of</w:t>
      </w:r>
      <w:proofErr w:type="gramEnd"/>
      <w:r w:rsidRPr="004B0DA6">
        <w:rPr>
          <w:rFonts w:ascii="Times New Roman" w:hAnsi="Times New Roman" w:cs="Times New Roman"/>
          <w:sz w:val="24"/>
        </w:rPr>
        <w:t xml:space="preserve"> the deferred inflow of resources for the lease receivable, which is not a spendable resource.</w:t>
      </w:r>
    </w:p>
    <w:bookmarkEnd w:id="10"/>
    <w:p w14:paraId="062C7340" w14:textId="1A6D2EBD" w:rsidR="0056179C" w:rsidRPr="004B0DA6" w:rsidRDefault="0056179C" w:rsidP="003626E3">
      <w:pPr>
        <w:ind w:left="720"/>
        <w:jc w:val="both"/>
        <w:rPr>
          <w:rFonts w:ascii="Times New Roman" w:hAnsi="Times New Roman" w:cs="Times New Roman"/>
          <w:sz w:val="24"/>
        </w:rPr>
      </w:pPr>
      <w:r w:rsidRPr="004B0DA6">
        <w:rPr>
          <w:rFonts w:ascii="Times New Roman" w:hAnsi="Times New Roman" w:cs="Times New Roman"/>
          <w:sz w:val="24"/>
        </w:rPr>
        <w:t>Perpetual maintenance – Cemetery resources that are required to be retained in perpetuity for maintenance of the City of Dogwood Cemetery.</w:t>
      </w:r>
    </w:p>
    <w:bookmarkEnd w:id="9"/>
    <w:p w14:paraId="724DFF11" w14:textId="77777777"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xml:space="preserve">Restricted Fund Balance – This classification includes amounts that are restricted to specific purposes externally imposed by creditors or imposed by law. </w:t>
      </w:r>
    </w:p>
    <w:p w14:paraId="353F1E72" w14:textId="77777777" w:rsidR="0056179C" w:rsidRPr="004B0DA6" w:rsidRDefault="0056179C" w:rsidP="00203597">
      <w:pPr>
        <w:spacing w:after="0"/>
        <w:jc w:val="both"/>
        <w:rPr>
          <w:rFonts w:ascii="Times New Roman" w:hAnsi="Times New Roman" w:cs="Times New Roman"/>
          <w:sz w:val="24"/>
        </w:rPr>
      </w:pPr>
    </w:p>
    <w:p w14:paraId="2EA3C19E" w14:textId="61355278" w:rsidR="0056179C" w:rsidRPr="004B0DA6" w:rsidRDefault="0056179C" w:rsidP="00203597">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Times New Roman" w:hAnsi="Times New Roman" w:cs="Times New Roman"/>
          <w:sz w:val="24"/>
        </w:rPr>
      </w:pPr>
      <w:r w:rsidRPr="004B0DA6">
        <w:rPr>
          <w:rFonts w:ascii="Times New Roman" w:hAnsi="Times New Roman" w:cs="Times New Roman"/>
          <w:sz w:val="24"/>
        </w:rPr>
        <w:t xml:space="preserve">Note to Preparer:  Restricted and Committed classifications of fund balance must be listed by purpose.   The name of the restricting source is not a purpose.  Example:  Restricted for Powell Bill should be labeled “Restricted for Streets” not “Restricted for Powell Bill”. </w:t>
      </w:r>
    </w:p>
    <w:p w14:paraId="5B478C8F" w14:textId="6EC3A4A9" w:rsidR="0056179C" w:rsidRPr="004B0DA6" w:rsidRDefault="0056179C" w:rsidP="007A4AD5">
      <w:pPr>
        <w:pStyle w:val="BodyTextIndent"/>
        <w:spacing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rPr>
        <w:t xml:space="preserve">Restricted for Stabilization by State statute - North Carolina </w:t>
      </w:r>
      <w:hyperlink r:id="rId17" w:history="1">
        <w:r w:rsidR="00F15753" w:rsidRPr="004B0DA6">
          <w:rPr>
            <w:rFonts w:ascii="Times New Roman" w:hAnsi="Times New Roman" w:cs="Times New Roman"/>
            <w:color w:val="0000FF"/>
            <w:sz w:val="24"/>
            <w:szCs w:val="24"/>
            <w:u w:val="single"/>
          </w:rPr>
          <w:t>G.S. 159-8</w:t>
        </w:r>
      </w:hyperlink>
      <w:r w:rsidR="00F15753" w:rsidRPr="004B0DA6">
        <w:rPr>
          <w:rFonts w:ascii="Times New Roman" w:hAnsi="Times New Roman" w:cs="Times New Roman"/>
          <w:sz w:val="24"/>
          <w:szCs w:val="24"/>
        </w:rPr>
        <w:t xml:space="preserve"> </w:t>
      </w:r>
      <w:r w:rsidRPr="004B0DA6">
        <w:rPr>
          <w:rFonts w:ascii="Times New Roman" w:hAnsi="Times New Roman" w:cs="Times New Roman"/>
          <w:sz w:val="24"/>
          <w:szCs w:val="24"/>
        </w:rPr>
        <w:t xml:space="preserve">prohibits units of government from budgeting or spending a portion of their fund balance. This is one of several statutes enacted by the North Carolina State Legislature in the 1930’s that were designed to improve and maintain the fiscal health of local government units. Restricted by State Statute (RSS) is calculated at the end of each fiscal year for all annually budgeted funds. The calculation in </w:t>
      </w:r>
      <w:hyperlink r:id="rId18" w:history="1">
        <w:r w:rsidR="00F15753" w:rsidRPr="004B0DA6">
          <w:rPr>
            <w:rFonts w:ascii="Times New Roman" w:hAnsi="Times New Roman" w:cs="Times New Roman"/>
            <w:color w:val="0000FF"/>
            <w:sz w:val="24"/>
            <w:szCs w:val="24"/>
            <w:u w:val="single"/>
          </w:rPr>
          <w:t>G.S. 159-8</w:t>
        </w:r>
      </w:hyperlink>
      <w:r w:rsidRPr="004B0DA6">
        <w:rPr>
          <w:rFonts w:ascii="Times New Roman" w:hAnsi="Times New Roman" w:cs="Times New Roman"/>
          <w:sz w:val="24"/>
          <w:szCs w:val="24"/>
        </w:rPr>
        <w:t xml:space="preserve">(a) provides a formula for determining what portion of fund balance is available for appropriation. The amount of fund balance not available for appropriation is what is known as “restricted by State statute”. Appropriated fund balance in any fund shall not exceed the sum of cash and investments minus the sum of liabilities, encumbrances, and deferred revenues arising from cash receipts, as those figures stand at the close of the fiscal year next preceding the budget. Per GASB guidance, RSS is considered a resource upon which a restriction is “imposed by law </w:t>
      </w:r>
      <w:r w:rsidRPr="004B0DA6">
        <w:rPr>
          <w:rFonts w:ascii="Times New Roman" w:hAnsi="Times New Roman" w:cs="Times New Roman"/>
          <w:sz w:val="24"/>
          <w:szCs w:val="24"/>
        </w:rPr>
        <w:lastRenderedPageBreak/>
        <w:t>through constitutional provisions or enabling legislation.” RSS is reduced by inventories</w:t>
      </w:r>
      <w:r w:rsidR="00DB5C2B" w:rsidRPr="004B0DA6">
        <w:rPr>
          <w:rFonts w:ascii="Times New Roman" w:hAnsi="Times New Roman" w:cs="Times New Roman"/>
          <w:sz w:val="24"/>
          <w:szCs w:val="24"/>
        </w:rPr>
        <w:t>,</w:t>
      </w:r>
      <w:r w:rsidRPr="004B0DA6">
        <w:rPr>
          <w:rFonts w:ascii="Times New Roman" w:hAnsi="Times New Roman" w:cs="Times New Roman"/>
          <w:sz w:val="24"/>
          <w:szCs w:val="24"/>
        </w:rPr>
        <w:t xml:space="preserve"> prepaids</w:t>
      </w:r>
      <w:r w:rsidR="00DB5C2B" w:rsidRPr="004B0DA6">
        <w:rPr>
          <w:rFonts w:ascii="Times New Roman" w:hAnsi="Times New Roman" w:cs="Times New Roman"/>
          <w:sz w:val="24"/>
          <w:szCs w:val="24"/>
        </w:rPr>
        <w:t xml:space="preserve"> and lease receivables </w:t>
      </w:r>
      <w:proofErr w:type="gramStart"/>
      <w:r w:rsidR="00DB5C2B" w:rsidRPr="004B0DA6">
        <w:rPr>
          <w:rFonts w:ascii="Times New Roman" w:hAnsi="Times New Roman" w:cs="Times New Roman"/>
          <w:sz w:val="24"/>
          <w:szCs w:val="24"/>
        </w:rPr>
        <w:t>in excess of</w:t>
      </w:r>
      <w:proofErr w:type="gramEnd"/>
      <w:r w:rsidR="00DB5C2B" w:rsidRPr="004B0DA6">
        <w:rPr>
          <w:rFonts w:ascii="Times New Roman" w:hAnsi="Times New Roman" w:cs="Times New Roman"/>
          <w:sz w:val="24"/>
          <w:szCs w:val="24"/>
        </w:rPr>
        <w:t xml:space="preserve"> deferred inflows of resources for leases,</w:t>
      </w:r>
      <w:r w:rsidRPr="004B0DA6">
        <w:rPr>
          <w:rFonts w:ascii="Times New Roman" w:hAnsi="Times New Roman" w:cs="Times New Roman"/>
          <w:sz w:val="24"/>
          <w:szCs w:val="24"/>
        </w:rPr>
        <w:t xml:space="preserve"> as they are classified as non</w:t>
      </w:r>
      <w:r w:rsidR="0062064C" w:rsidRPr="004B0DA6">
        <w:rPr>
          <w:rFonts w:ascii="Times New Roman" w:hAnsi="Times New Roman" w:cs="Times New Roman"/>
          <w:sz w:val="24"/>
          <w:szCs w:val="24"/>
        </w:rPr>
        <w:t>-</w:t>
      </w:r>
      <w:r w:rsidRPr="004B0DA6">
        <w:rPr>
          <w:rFonts w:ascii="Times New Roman" w:hAnsi="Times New Roman" w:cs="Times New Roman"/>
          <w:sz w:val="24"/>
          <w:szCs w:val="24"/>
        </w:rPr>
        <w:t xml:space="preserve">spendable. Outstanding Encumbrances are included within RSS.  RSS is included as a component of Restricted Net position and Restricted fund balance on the face of the balance sheet. </w:t>
      </w:r>
    </w:p>
    <w:p w14:paraId="6C807B81" w14:textId="77777777" w:rsidR="00203597" w:rsidRPr="004B0DA6" w:rsidRDefault="00203597" w:rsidP="00203597">
      <w:pPr>
        <w:pStyle w:val="BodyTextIndent"/>
        <w:spacing w:after="0" w:line="240" w:lineRule="auto"/>
        <w:jc w:val="both"/>
        <w:rPr>
          <w:rFonts w:ascii="Times New Roman" w:hAnsi="Times New Roman" w:cs="Times New Roman"/>
          <w:sz w:val="24"/>
          <w:szCs w:val="24"/>
        </w:rPr>
      </w:pPr>
    </w:p>
    <w:p w14:paraId="00EDD453" w14:textId="55A9C1E6" w:rsidR="0056179C" w:rsidRPr="004B0DA6" w:rsidRDefault="0056179C" w:rsidP="003626E3">
      <w:pPr>
        <w:pStyle w:val="BodyTextIndent"/>
        <w:spacing w:line="240" w:lineRule="auto"/>
        <w:jc w:val="both"/>
        <w:rPr>
          <w:rFonts w:ascii="Times New Roman" w:hAnsi="Times New Roman" w:cs="Times New Roman"/>
          <w:sz w:val="24"/>
          <w:szCs w:val="24"/>
        </w:rPr>
      </w:pPr>
      <w:r w:rsidRPr="004B0DA6">
        <w:rPr>
          <w:rFonts w:ascii="Times New Roman" w:hAnsi="Times New Roman" w:cs="Times New Roman"/>
          <w:sz w:val="24"/>
          <w:szCs w:val="24"/>
        </w:rPr>
        <w:t xml:space="preserve">Restricted for Streets - Powell Bill portion of fund balance that is restricted by revenue source for street construction and maintenance expenditures.  This amount represents the balance of unexpended Powell Bill funds.  </w:t>
      </w:r>
    </w:p>
    <w:p w14:paraId="3EF718B8" w14:textId="77777777" w:rsidR="0056179C" w:rsidRPr="004B0DA6" w:rsidRDefault="0056179C" w:rsidP="00203597">
      <w:pPr>
        <w:pStyle w:val="BodyTextIndent"/>
        <w:spacing w:after="0" w:line="240" w:lineRule="auto"/>
        <w:rPr>
          <w:rFonts w:ascii="Times New Roman" w:hAnsi="Times New Roman" w:cs="Times New Roman"/>
        </w:rPr>
      </w:pPr>
    </w:p>
    <w:p w14:paraId="287C16E6" w14:textId="77777777" w:rsidR="0056179C" w:rsidRPr="004B0DA6" w:rsidRDefault="0056179C" w:rsidP="0056179C">
      <w:pPr>
        <w:pStyle w:val="BodyTextIndent"/>
        <w:spacing w:line="240" w:lineRule="auto"/>
        <w:rPr>
          <w:rFonts w:ascii="Times New Roman" w:hAnsi="Times New Roman" w:cs="Times New Roman"/>
          <w:sz w:val="24"/>
          <w:szCs w:val="24"/>
        </w:rPr>
      </w:pPr>
      <w:r w:rsidRPr="004B0DA6">
        <w:rPr>
          <w:rFonts w:ascii="Times New Roman" w:hAnsi="Times New Roman" w:cs="Times New Roman"/>
          <w:sz w:val="24"/>
          <w:szCs w:val="24"/>
        </w:rPr>
        <w:t>Restricted for Public Safety – portion of fund balance that is restricted by revenue source for certain emergency telephone system expenditures.</w:t>
      </w:r>
    </w:p>
    <w:p w14:paraId="3B874282" w14:textId="77777777" w:rsidR="0056179C" w:rsidRPr="004B0DA6" w:rsidRDefault="0056179C" w:rsidP="00203597">
      <w:pPr>
        <w:pStyle w:val="BodyTextIndent"/>
        <w:spacing w:after="0" w:line="240" w:lineRule="auto"/>
        <w:rPr>
          <w:rFonts w:ascii="Times New Roman" w:hAnsi="Times New Roman" w:cs="Times New Roman"/>
          <w:sz w:val="24"/>
          <w:szCs w:val="24"/>
        </w:rPr>
      </w:pPr>
    </w:p>
    <w:p w14:paraId="4F0F3D9B" w14:textId="0C65749B" w:rsidR="0056179C" w:rsidRPr="004B0DA6" w:rsidRDefault="0056179C" w:rsidP="0056179C">
      <w:pPr>
        <w:pStyle w:val="BodyTextIndent"/>
        <w:spacing w:line="240" w:lineRule="auto"/>
        <w:rPr>
          <w:rFonts w:ascii="Times New Roman" w:hAnsi="Times New Roman" w:cs="Times New Roman"/>
          <w:sz w:val="24"/>
          <w:szCs w:val="24"/>
        </w:rPr>
      </w:pPr>
      <w:r w:rsidRPr="004B0DA6">
        <w:rPr>
          <w:rFonts w:ascii="Times New Roman" w:hAnsi="Times New Roman" w:cs="Times New Roman"/>
          <w:sz w:val="24"/>
          <w:szCs w:val="24"/>
        </w:rPr>
        <w:t>Restricted for Economic Development - portion of fund balance restricted for economic development [G.S. Chapter 159, Article 3, Part 2</w:t>
      </w:r>
      <w:r w:rsidR="007545C1" w:rsidRPr="004B0DA6">
        <w:rPr>
          <w:rFonts w:ascii="Times New Roman" w:hAnsi="Times New Roman" w:cs="Times New Roman"/>
          <w:sz w:val="24"/>
          <w:szCs w:val="24"/>
        </w:rPr>
        <w:t xml:space="preserve"> Capital Reserve Funds</w:t>
      </w:r>
      <w:r w:rsidRPr="004B0DA6">
        <w:rPr>
          <w:rFonts w:ascii="Times New Roman" w:hAnsi="Times New Roman" w:cs="Times New Roman"/>
          <w:sz w:val="24"/>
          <w:szCs w:val="24"/>
        </w:rPr>
        <w:t>].</w:t>
      </w:r>
    </w:p>
    <w:p w14:paraId="16BB4EFC" w14:textId="77777777" w:rsidR="0056179C" w:rsidRPr="004B0DA6" w:rsidRDefault="0056179C" w:rsidP="00203597">
      <w:pPr>
        <w:pStyle w:val="BodyTextIndent"/>
        <w:spacing w:after="0" w:line="240" w:lineRule="auto"/>
        <w:rPr>
          <w:rFonts w:ascii="Times New Roman" w:hAnsi="Times New Roman" w:cs="Times New Roman"/>
          <w:sz w:val="24"/>
          <w:szCs w:val="24"/>
        </w:rPr>
      </w:pPr>
    </w:p>
    <w:p w14:paraId="2AD1CDB3" w14:textId="77777777" w:rsidR="0056179C" w:rsidRPr="004B0DA6" w:rsidRDefault="0056179C" w:rsidP="0056179C">
      <w:pPr>
        <w:pStyle w:val="BodyTextIndent"/>
        <w:spacing w:line="240" w:lineRule="auto"/>
        <w:rPr>
          <w:rFonts w:ascii="Times New Roman" w:hAnsi="Times New Roman" w:cs="Times New Roman"/>
          <w:sz w:val="24"/>
          <w:szCs w:val="24"/>
        </w:rPr>
      </w:pPr>
      <w:r w:rsidRPr="004B0DA6">
        <w:rPr>
          <w:rFonts w:ascii="Times New Roman" w:hAnsi="Times New Roman" w:cs="Times New Roman"/>
          <w:sz w:val="24"/>
          <w:szCs w:val="24"/>
        </w:rPr>
        <w:t xml:space="preserve">Restricted for Education – portion of fund balance that is restricted for the Carolina County Board of Education. </w:t>
      </w:r>
    </w:p>
    <w:p w14:paraId="4DCD0FB0" w14:textId="77777777" w:rsidR="0056179C" w:rsidRPr="004B0DA6" w:rsidRDefault="0056179C" w:rsidP="00203597">
      <w:pPr>
        <w:pStyle w:val="BodyTextIndent"/>
        <w:spacing w:after="0" w:line="240" w:lineRule="auto"/>
        <w:ind w:left="0"/>
        <w:rPr>
          <w:rFonts w:ascii="Times New Roman" w:hAnsi="Times New Roman" w:cs="Times New Roman"/>
        </w:rPr>
      </w:pPr>
    </w:p>
    <w:p w14:paraId="4EDFAD9A" w14:textId="04DAF93F" w:rsidR="0056179C" w:rsidRPr="004B0DA6" w:rsidRDefault="0056179C" w:rsidP="0039186E">
      <w:pPr>
        <w:pStyle w:val="BodyTextIndent"/>
        <w:spacing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rPr>
        <w:t xml:space="preserve">Committed Fund Balance – portion of fund balance that can only be used for specific purposes imposed by majority vote by </w:t>
      </w:r>
      <w:r w:rsidR="00812E20" w:rsidRPr="004B0DA6">
        <w:rPr>
          <w:rFonts w:ascii="Times New Roman" w:hAnsi="Times New Roman" w:cs="Times New Roman"/>
          <w:sz w:val="24"/>
          <w:szCs w:val="24"/>
        </w:rPr>
        <w:t xml:space="preserve">a </w:t>
      </w:r>
      <w:r w:rsidRPr="004B0DA6">
        <w:rPr>
          <w:rFonts w:ascii="Times New Roman" w:hAnsi="Times New Roman" w:cs="Times New Roman"/>
          <w:sz w:val="24"/>
          <w:szCs w:val="24"/>
        </w:rPr>
        <w:t xml:space="preserve">quorum of </w:t>
      </w:r>
      <w:r w:rsidR="00812E20" w:rsidRPr="004B0DA6">
        <w:rPr>
          <w:rFonts w:ascii="Times New Roman" w:hAnsi="Times New Roman" w:cs="Times New Roman"/>
          <w:sz w:val="24"/>
          <w:szCs w:val="24"/>
        </w:rPr>
        <w:t xml:space="preserve">the </w:t>
      </w:r>
      <w:r w:rsidRPr="004B0DA6">
        <w:rPr>
          <w:rFonts w:ascii="Times New Roman" w:hAnsi="Times New Roman" w:cs="Times New Roman"/>
          <w:sz w:val="24"/>
          <w:szCs w:val="24"/>
        </w:rPr>
        <w:t>City of Dogwood’s governing body (</w:t>
      </w:r>
      <w:r w:rsidR="00812E20" w:rsidRPr="004B0DA6">
        <w:rPr>
          <w:rFonts w:ascii="Times New Roman" w:hAnsi="Times New Roman" w:cs="Times New Roman"/>
          <w:sz w:val="24"/>
          <w:szCs w:val="24"/>
        </w:rPr>
        <w:t xml:space="preserve">the </w:t>
      </w:r>
      <w:r w:rsidRPr="004B0DA6">
        <w:rPr>
          <w:rFonts w:ascii="Times New Roman" w:hAnsi="Times New Roman" w:cs="Times New Roman"/>
          <w:sz w:val="24"/>
          <w:szCs w:val="24"/>
        </w:rPr>
        <w:t xml:space="preserve">highest level of decision-making authority).  The governing body can, by adoption of an ordinance prior to the end of the fiscal year, commit fund balance. Once adopted, the limitation imposed by the ordinance remains in place until a similar action is taken (the adoption of another ordinance) to remove or revise the limitation.   </w:t>
      </w:r>
    </w:p>
    <w:p w14:paraId="7613BE8A" w14:textId="77777777" w:rsidR="0056179C" w:rsidRPr="004B0DA6" w:rsidRDefault="0056179C" w:rsidP="00203597">
      <w:pPr>
        <w:pStyle w:val="BodyTextIndent"/>
        <w:spacing w:after="0" w:line="240" w:lineRule="auto"/>
        <w:ind w:left="0"/>
        <w:jc w:val="both"/>
        <w:rPr>
          <w:rFonts w:ascii="Times New Roman" w:hAnsi="Times New Roman" w:cs="Times New Roman"/>
          <w:sz w:val="24"/>
          <w:szCs w:val="24"/>
        </w:rPr>
      </w:pPr>
    </w:p>
    <w:p w14:paraId="6E81ACEA" w14:textId="77777777" w:rsidR="0056179C" w:rsidRPr="004B0DA6" w:rsidRDefault="0056179C" w:rsidP="00203597">
      <w:pPr>
        <w:pStyle w:val="BodyTextIndent"/>
        <w:spacing w:after="0"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rPr>
        <w:t xml:space="preserve">Assigned fund balance – portion of fund balance that City of Dogwood intends to use for specific purposes. </w:t>
      </w:r>
    </w:p>
    <w:p w14:paraId="7FD385B7" w14:textId="77777777" w:rsidR="0056179C" w:rsidRPr="004B0DA6" w:rsidRDefault="0056179C" w:rsidP="00203597">
      <w:pPr>
        <w:pStyle w:val="BodyTextIndent"/>
        <w:spacing w:after="0" w:line="240" w:lineRule="auto"/>
        <w:ind w:left="0"/>
        <w:rPr>
          <w:rFonts w:ascii="Times New Roman" w:hAnsi="Times New Roman" w:cs="Times New Roman"/>
        </w:rPr>
      </w:pPr>
    </w:p>
    <w:p w14:paraId="70BDAF4B" w14:textId="36B1C70C" w:rsidR="0056179C" w:rsidRPr="004B0DA6" w:rsidRDefault="0056179C" w:rsidP="00203597">
      <w:pPr>
        <w:pStyle w:val="BodyTextIndent"/>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ind w:left="0"/>
        <w:rPr>
          <w:rFonts w:ascii="Times New Roman" w:hAnsi="Times New Roman" w:cs="Times New Roman"/>
          <w:sz w:val="24"/>
          <w:szCs w:val="24"/>
        </w:rPr>
      </w:pPr>
      <w:r w:rsidRPr="004B0DA6">
        <w:rPr>
          <w:rFonts w:ascii="Times New Roman" w:hAnsi="Times New Roman" w:cs="Times New Roman"/>
          <w:sz w:val="24"/>
          <w:szCs w:val="24"/>
        </w:rPr>
        <w:t xml:space="preserve">Note to Preparer:  Unit of government must disclose </w:t>
      </w:r>
      <w:r w:rsidR="00E46A22" w:rsidRPr="004B0DA6">
        <w:rPr>
          <w:rFonts w:ascii="Times New Roman" w:hAnsi="Times New Roman" w:cs="Times New Roman"/>
          <w:sz w:val="24"/>
          <w:szCs w:val="24"/>
        </w:rPr>
        <w:t>the body or official that</w:t>
      </w:r>
      <w:r w:rsidRPr="004B0DA6">
        <w:rPr>
          <w:rFonts w:ascii="Times New Roman" w:hAnsi="Times New Roman" w:cs="Times New Roman"/>
          <w:sz w:val="24"/>
          <w:szCs w:val="24"/>
        </w:rPr>
        <w:t xml:space="preserve"> has authority to assign fund balance to a specific purpose and the policy by the governing body that established this authorization. </w:t>
      </w:r>
    </w:p>
    <w:p w14:paraId="37FACD27" w14:textId="77777777" w:rsidR="0056179C" w:rsidRPr="004B0DA6" w:rsidRDefault="0056179C" w:rsidP="00203597">
      <w:pPr>
        <w:pStyle w:val="BodyTextIndent"/>
        <w:spacing w:after="0" w:line="240" w:lineRule="auto"/>
        <w:rPr>
          <w:rFonts w:ascii="Times New Roman" w:hAnsi="Times New Roman" w:cs="Times New Roman"/>
        </w:rPr>
      </w:pPr>
    </w:p>
    <w:p w14:paraId="465CCAD9" w14:textId="12726C5D" w:rsidR="0056179C" w:rsidRPr="004B0DA6" w:rsidRDefault="0056179C" w:rsidP="00203597">
      <w:pPr>
        <w:pStyle w:val="BodyTextIndent"/>
        <w:spacing w:after="0" w:line="240" w:lineRule="auto"/>
        <w:rPr>
          <w:rFonts w:ascii="Times New Roman" w:hAnsi="Times New Roman" w:cs="Times New Roman"/>
          <w:sz w:val="24"/>
          <w:szCs w:val="24"/>
        </w:rPr>
      </w:pPr>
      <w:r w:rsidRPr="004B0DA6">
        <w:rPr>
          <w:rFonts w:ascii="Times New Roman" w:hAnsi="Times New Roman" w:cs="Times New Roman"/>
          <w:sz w:val="24"/>
          <w:szCs w:val="24"/>
        </w:rPr>
        <w:t>Assigned for Parking and Recreation – portion of fund balance that has been budgeted by the Board for construction of a public baseball field.</w:t>
      </w:r>
    </w:p>
    <w:p w14:paraId="4B550E89" w14:textId="77777777" w:rsidR="008504B7" w:rsidRPr="004B0DA6" w:rsidRDefault="0056179C" w:rsidP="008504B7">
      <w:pPr>
        <w:pStyle w:val="BodyTextIndent"/>
        <w:spacing w:after="0" w:line="240" w:lineRule="auto"/>
        <w:jc w:val="both"/>
        <w:rPr>
          <w:rFonts w:ascii="Times New Roman" w:hAnsi="Times New Roman" w:cs="Times New Roman"/>
          <w:sz w:val="24"/>
          <w:szCs w:val="24"/>
        </w:rPr>
      </w:pPr>
      <w:r w:rsidRPr="004B0DA6">
        <w:rPr>
          <w:rFonts w:ascii="Times New Roman" w:hAnsi="Times New Roman" w:cs="Times New Roman"/>
          <w:sz w:val="24"/>
          <w:szCs w:val="24"/>
        </w:rPr>
        <w:t>Subsequent year’s expenditures – portion of fund balance that is appropriated in the next year’s budget that is not already classified in restricted or committed.  The governing body approves the appropriation; however, the budget ordinance authorizes the manager to modify the appropriations by resource or appropriation within funds up to $100,000.</w:t>
      </w:r>
    </w:p>
    <w:p w14:paraId="637A3FEC" w14:textId="77777777" w:rsidR="007545C1" w:rsidRPr="004B0DA6" w:rsidRDefault="007545C1" w:rsidP="007545C1">
      <w:pPr>
        <w:pStyle w:val="BodyTextIndent"/>
        <w:spacing w:after="0" w:line="240" w:lineRule="auto"/>
        <w:ind w:left="0"/>
        <w:jc w:val="both"/>
        <w:rPr>
          <w:rFonts w:ascii="Times New Roman" w:hAnsi="Times New Roman" w:cs="Times New Roman"/>
          <w:sz w:val="24"/>
          <w:szCs w:val="24"/>
        </w:rPr>
      </w:pPr>
    </w:p>
    <w:p w14:paraId="57DABAF4" w14:textId="39111A1B" w:rsidR="0056179C" w:rsidRPr="004B0DA6" w:rsidRDefault="0056179C" w:rsidP="007A4AD5">
      <w:pPr>
        <w:pStyle w:val="BodyTextIndent"/>
        <w:spacing w:after="0"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rPr>
        <w:t>Unassigned fund balance – the portion of fund balance that has not been restricted, committed, or assigned to specific purposes or other funds</w:t>
      </w:r>
      <w:r w:rsidR="00686B8E" w:rsidRPr="004B0DA6">
        <w:rPr>
          <w:rFonts w:ascii="Times New Roman" w:hAnsi="Times New Roman" w:cs="Times New Roman"/>
          <w:sz w:val="24"/>
          <w:szCs w:val="24"/>
        </w:rPr>
        <w:t xml:space="preserve"> and that has not been </w:t>
      </w:r>
      <w:r w:rsidR="00D90BAC" w:rsidRPr="004B0DA6">
        <w:rPr>
          <w:rFonts w:ascii="Times New Roman" w:hAnsi="Times New Roman" w:cs="Times New Roman"/>
          <w:sz w:val="24"/>
          <w:szCs w:val="24"/>
        </w:rPr>
        <w:t>reported</w:t>
      </w:r>
      <w:r w:rsidR="00686B8E" w:rsidRPr="004B0DA6">
        <w:rPr>
          <w:rFonts w:ascii="Times New Roman" w:hAnsi="Times New Roman" w:cs="Times New Roman"/>
          <w:sz w:val="24"/>
          <w:szCs w:val="24"/>
        </w:rPr>
        <w:t xml:space="preserve"> as non</w:t>
      </w:r>
      <w:r w:rsidR="0062064C" w:rsidRPr="004B0DA6">
        <w:rPr>
          <w:rFonts w:ascii="Times New Roman" w:hAnsi="Times New Roman" w:cs="Times New Roman"/>
          <w:sz w:val="24"/>
          <w:szCs w:val="24"/>
        </w:rPr>
        <w:t>-</w:t>
      </w:r>
      <w:r w:rsidR="00686B8E" w:rsidRPr="004B0DA6">
        <w:rPr>
          <w:rFonts w:ascii="Times New Roman" w:hAnsi="Times New Roman" w:cs="Times New Roman"/>
          <w:sz w:val="24"/>
          <w:szCs w:val="24"/>
        </w:rPr>
        <w:t>spendable fund balance</w:t>
      </w:r>
      <w:r w:rsidRPr="004B0DA6">
        <w:rPr>
          <w:rFonts w:ascii="Times New Roman" w:hAnsi="Times New Roman" w:cs="Times New Roman"/>
          <w:sz w:val="24"/>
          <w:szCs w:val="24"/>
        </w:rPr>
        <w:t>.</w:t>
      </w:r>
      <w:r w:rsidR="00A72A8A" w:rsidRPr="004B0DA6">
        <w:rPr>
          <w:rFonts w:ascii="Times New Roman" w:hAnsi="Times New Roman" w:cs="Times New Roman"/>
          <w:sz w:val="24"/>
          <w:szCs w:val="24"/>
        </w:rPr>
        <w:t xml:space="preserve"> </w:t>
      </w:r>
    </w:p>
    <w:p w14:paraId="7D430F95" w14:textId="77777777" w:rsidR="0056179C" w:rsidRPr="004B0DA6" w:rsidRDefault="0056179C" w:rsidP="00203597">
      <w:pPr>
        <w:pStyle w:val="BodyTextIndent"/>
        <w:spacing w:after="0" w:line="240" w:lineRule="auto"/>
        <w:ind w:left="0"/>
        <w:rPr>
          <w:rFonts w:ascii="Times New Roman" w:hAnsi="Times New Roman" w:cs="Times New Roman"/>
          <w:sz w:val="24"/>
          <w:szCs w:val="24"/>
        </w:rPr>
      </w:pPr>
    </w:p>
    <w:p w14:paraId="10B9CB61" w14:textId="77777777" w:rsidR="0056179C" w:rsidRPr="004B0DA6" w:rsidRDefault="0056179C" w:rsidP="00203597">
      <w:pPr>
        <w:pStyle w:val="TxBrt1"/>
        <w:widowControl/>
        <w:spacing w:line="240" w:lineRule="auto"/>
        <w:jc w:val="both"/>
        <w:rPr>
          <w:snapToGrid/>
          <w:szCs w:val="24"/>
        </w:rPr>
      </w:pPr>
      <w:r w:rsidRPr="004B0DA6">
        <w:rPr>
          <w:snapToGrid/>
          <w:szCs w:val="24"/>
        </w:rPr>
        <w:lastRenderedPageBreak/>
        <w:t xml:space="preserve">The City of Dogwood has a revenue spending policy that provides guidance for programs with multiple revenue sources.  The Finance Officer will use resources in the following hierarchy: bond proceeds, federal funds, State funds, local non-city funds, city funds.  For purposes of fund balance classification expenditures are to be spent from restricted fund balance first, followed in-order by committed fund balance, assigned fund balance and lastly unassigned fund balance.  The Finance Officer has the authority to deviate from this policy if it is in the best interest of the City. </w:t>
      </w:r>
    </w:p>
    <w:p w14:paraId="42BC12A4" w14:textId="77777777" w:rsidR="0056179C" w:rsidRPr="004B0DA6" w:rsidRDefault="0056179C" w:rsidP="00203597">
      <w:pPr>
        <w:pStyle w:val="TxBrt1"/>
        <w:widowControl/>
        <w:spacing w:line="240" w:lineRule="auto"/>
        <w:jc w:val="both"/>
        <w:rPr>
          <w:snapToGrid/>
        </w:rPr>
      </w:pPr>
    </w:p>
    <w:p w14:paraId="44240594" w14:textId="77777777" w:rsidR="0056179C" w:rsidRPr="004B0DA6" w:rsidRDefault="0056179C" w:rsidP="00203597">
      <w:pPr>
        <w:pStyle w:val="TxBrt1"/>
        <w:widowControl/>
        <w:pBdr>
          <w:top w:val="thinThickThinSmallGap" w:sz="24" w:space="1" w:color="auto"/>
          <w:left w:val="thinThickThinSmallGap" w:sz="24" w:space="4" w:color="auto"/>
          <w:bottom w:val="thinThickThinSmallGap" w:sz="24" w:space="1" w:color="auto"/>
          <w:right w:val="thinThickThinSmallGap" w:sz="24" w:space="4" w:color="auto"/>
        </w:pBdr>
        <w:spacing w:line="240" w:lineRule="auto"/>
        <w:jc w:val="both"/>
        <w:rPr>
          <w:snapToGrid/>
          <w:szCs w:val="24"/>
        </w:rPr>
      </w:pPr>
      <w:r w:rsidRPr="004B0DA6">
        <w:rPr>
          <w:b/>
          <w:snapToGrid/>
          <w:szCs w:val="24"/>
        </w:rPr>
        <w:t>Note to Preparer</w:t>
      </w:r>
      <w:r w:rsidRPr="004B0DA6">
        <w:rPr>
          <w:snapToGrid/>
          <w:szCs w:val="24"/>
        </w:rPr>
        <w:t>:</w:t>
      </w:r>
      <w:r w:rsidRPr="004B0DA6">
        <w:rPr>
          <w:i/>
          <w:snapToGrid/>
          <w:szCs w:val="24"/>
        </w:rPr>
        <w:t xml:space="preserve"> </w:t>
      </w:r>
      <w:r w:rsidRPr="004B0DA6">
        <w:rPr>
          <w:snapToGrid/>
          <w:szCs w:val="24"/>
        </w:rPr>
        <w:t>Although units of governments are not required to adopt one, the minimum fund balance policy should be disclosed if one has been adopted.  Units should modify this language to reflect their own policies.</w:t>
      </w:r>
    </w:p>
    <w:p w14:paraId="4024BE3A" w14:textId="77777777" w:rsidR="00530D3B" w:rsidRPr="004B0DA6" w:rsidRDefault="00530D3B" w:rsidP="00203597">
      <w:pPr>
        <w:pStyle w:val="TxBrt1"/>
        <w:widowControl/>
        <w:pBdr>
          <w:top w:val="thinThickThinSmallGap" w:sz="24" w:space="1" w:color="auto"/>
          <w:left w:val="thinThickThinSmallGap" w:sz="24" w:space="4" w:color="auto"/>
          <w:bottom w:val="thinThickThinSmallGap" w:sz="24" w:space="1" w:color="auto"/>
          <w:right w:val="thinThickThinSmallGap" w:sz="24" w:space="4" w:color="auto"/>
        </w:pBdr>
        <w:spacing w:line="240" w:lineRule="auto"/>
        <w:jc w:val="both"/>
        <w:rPr>
          <w:snapToGrid/>
          <w:szCs w:val="24"/>
        </w:rPr>
      </w:pPr>
    </w:p>
    <w:p w14:paraId="67EE0F7E" w14:textId="77777777" w:rsidR="00530D3B" w:rsidRPr="004B0DA6" w:rsidRDefault="00530D3B" w:rsidP="00530D3B">
      <w:pPr>
        <w:pStyle w:val="TxBrt1"/>
        <w:pBdr>
          <w:top w:val="thinThickThinSmallGap" w:sz="24" w:space="1" w:color="auto"/>
          <w:left w:val="thinThickThinSmallGap" w:sz="24" w:space="4" w:color="auto"/>
          <w:bottom w:val="thinThickThinSmallGap" w:sz="24" w:space="1" w:color="auto"/>
          <w:right w:val="thinThickThinSmallGap" w:sz="24" w:space="4" w:color="auto"/>
        </w:pBdr>
        <w:spacing w:line="240" w:lineRule="auto"/>
        <w:jc w:val="both"/>
        <w:rPr>
          <w:iCs/>
          <w:snapToGrid/>
          <w:szCs w:val="24"/>
          <w:highlight w:val="yellow"/>
        </w:rPr>
      </w:pPr>
      <w:r w:rsidRPr="004B0DA6">
        <w:rPr>
          <w:iCs/>
          <w:snapToGrid/>
          <w:szCs w:val="24"/>
          <w:highlight w:val="yellow"/>
        </w:rPr>
        <w:t>Used properly, a fund balance policy can help the unit establish the expectation and the foundation for the ongoing fiscal strength and guide the governing board and management as they make financial decisions. A General Fund minimum balance policy reflects the unit’s commitment to continued fiscal strength and is favorably viewed by the three major credit rating agencies.</w:t>
      </w:r>
    </w:p>
    <w:p w14:paraId="32D55115" w14:textId="77777777" w:rsidR="00530D3B" w:rsidRPr="004B0DA6" w:rsidRDefault="00530D3B" w:rsidP="00530D3B">
      <w:pPr>
        <w:pStyle w:val="TxBrt1"/>
        <w:pBdr>
          <w:top w:val="thinThickThinSmallGap" w:sz="24" w:space="1" w:color="auto"/>
          <w:left w:val="thinThickThinSmallGap" w:sz="24" w:space="4" w:color="auto"/>
          <w:bottom w:val="thinThickThinSmallGap" w:sz="24" w:space="1" w:color="auto"/>
          <w:right w:val="thinThickThinSmallGap" w:sz="24" w:space="4" w:color="auto"/>
        </w:pBdr>
        <w:spacing w:line="240" w:lineRule="auto"/>
        <w:jc w:val="both"/>
        <w:rPr>
          <w:iCs/>
          <w:snapToGrid/>
          <w:szCs w:val="24"/>
          <w:highlight w:val="yellow"/>
        </w:rPr>
      </w:pPr>
    </w:p>
    <w:p w14:paraId="39D49A3E" w14:textId="6496BE4C" w:rsidR="00530D3B" w:rsidRPr="004B0DA6" w:rsidRDefault="00530D3B" w:rsidP="00530D3B">
      <w:pPr>
        <w:pStyle w:val="TxBrt1"/>
        <w:widowControl/>
        <w:pBdr>
          <w:top w:val="thinThickThinSmallGap" w:sz="24" w:space="1" w:color="auto"/>
          <w:left w:val="thinThickThinSmallGap" w:sz="24" w:space="4" w:color="auto"/>
          <w:bottom w:val="thinThickThinSmallGap" w:sz="24" w:space="1" w:color="auto"/>
          <w:right w:val="thinThickThinSmallGap" w:sz="24" w:space="4" w:color="auto"/>
        </w:pBdr>
        <w:spacing w:line="240" w:lineRule="auto"/>
        <w:jc w:val="both"/>
        <w:rPr>
          <w:i/>
          <w:snapToGrid/>
          <w:szCs w:val="24"/>
        </w:rPr>
      </w:pPr>
      <w:r w:rsidRPr="004B0DA6">
        <w:rPr>
          <w:iCs/>
          <w:snapToGrid/>
          <w:szCs w:val="24"/>
          <w:highlight w:val="yellow"/>
        </w:rPr>
        <w:t>The fund balance policy language presented here for City of Dogwood is for illustrative purposes ONLY and should not be considered as a requirement. Units are not required to have a fund balance policy. However, if they do have a board approved fund balance policy, then it should be disclosed in the notes. For specific guidance on fund balance policy presentation, refer to</w:t>
      </w:r>
      <w:r w:rsidRPr="004B0DA6">
        <w:rPr>
          <w:i/>
          <w:snapToGrid/>
          <w:szCs w:val="24"/>
          <w:highlight w:val="yellow"/>
        </w:rPr>
        <w:t xml:space="preserve"> GASB 54, Fund Balance Reporting and Governmental Fund Type Definitions.</w:t>
      </w:r>
    </w:p>
    <w:p w14:paraId="34F6DD1A" w14:textId="77777777" w:rsidR="0056179C" w:rsidRPr="004B0DA6" w:rsidRDefault="0056179C" w:rsidP="00203597">
      <w:pPr>
        <w:pStyle w:val="BodyTextIndent"/>
        <w:spacing w:after="0" w:line="240" w:lineRule="auto"/>
        <w:ind w:left="0"/>
        <w:rPr>
          <w:rFonts w:ascii="Times New Roman" w:hAnsi="Times New Roman" w:cs="Times New Roman"/>
        </w:rPr>
      </w:pPr>
    </w:p>
    <w:p w14:paraId="74E14ABA" w14:textId="58E01FC9" w:rsidR="00447731"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xml:space="preserve">The City of Dogwood has also adopted a minimum fund balance policy for the general fund which instructs management to conduct the business of the City in such a manner that available fund balance is at least equal to or greater than </w:t>
      </w:r>
      <w:r w:rsidR="003959B9" w:rsidRPr="004B0DA6">
        <w:rPr>
          <w:rFonts w:ascii="Times New Roman" w:hAnsi="Times New Roman" w:cs="Times New Roman"/>
          <w:sz w:val="24"/>
        </w:rPr>
        <w:t>5</w:t>
      </w:r>
      <w:r w:rsidRPr="004B0DA6">
        <w:rPr>
          <w:rFonts w:ascii="Times New Roman" w:hAnsi="Times New Roman" w:cs="Times New Roman"/>
          <w:sz w:val="24"/>
        </w:rPr>
        <w:t xml:space="preserve">% of budgeted expenditures.  Any portion of the general fund balance </w:t>
      </w:r>
      <w:proofErr w:type="gramStart"/>
      <w:r w:rsidRPr="004B0DA6">
        <w:rPr>
          <w:rFonts w:ascii="Times New Roman" w:hAnsi="Times New Roman" w:cs="Times New Roman"/>
          <w:sz w:val="24"/>
        </w:rPr>
        <w:t>in excess of</w:t>
      </w:r>
      <w:proofErr w:type="gramEnd"/>
      <w:r w:rsidRPr="004B0DA6">
        <w:rPr>
          <w:rFonts w:ascii="Times New Roman" w:hAnsi="Times New Roman" w:cs="Times New Roman"/>
          <w:sz w:val="24"/>
        </w:rPr>
        <w:t xml:space="preserve"> </w:t>
      </w:r>
      <w:r w:rsidR="003959B9" w:rsidRPr="004B0DA6">
        <w:rPr>
          <w:rFonts w:ascii="Times New Roman" w:hAnsi="Times New Roman" w:cs="Times New Roman"/>
          <w:sz w:val="24"/>
        </w:rPr>
        <w:t>5</w:t>
      </w:r>
      <w:r w:rsidRPr="004B0DA6">
        <w:rPr>
          <w:rFonts w:ascii="Times New Roman" w:hAnsi="Times New Roman" w:cs="Times New Roman"/>
          <w:sz w:val="24"/>
        </w:rPr>
        <w:t>% of budgeted expenditures may be appropriated for one-time expenditures and may not be used for any purpose that would obligate the City in a future budget.</w:t>
      </w:r>
    </w:p>
    <w:p w14:paraId="573E2AB6" w14:textId="77777777" w:rsidR="00447731" w:rsidRPr="004B0DA6" w:rsidRDefault="00447731" w:rsidP="00203597">
      <w:pPr>
        <w:spacing w:after="0"/>
        <w:jc w:val="both"/>
        <w:rPr>
          <w:rFonts w:ascii="Times New Roman" w:hAnsi="Times New Roman" w:cs="Times New Roman"/>
          <w:sz w:val="24"/>
        </w:rPr>
      </w:pPr>
    </w:p>
    <w:p w14:paraId="49DC5ADE" w14:textId="48B8EF16" w:rsidR="0056179C" w:rsidRPr="004B0DA6" w:rsidRDefault="0056179C" w:rsidP="00203597">
      <w:pPr>
        <w:pStyle w:val="BodyTextIndent"/>
        <w:spacing w:after="0" w:line="240" w:lineRule="auto"/>
        <w:ind w:left="0"/>
        <w:rPr>
          <w:rFonts w:ascii="Times New Roman" w:hAnsi="Times New Roman" w:cs="Times New Roman"/>
          <w:sz w:val="24"/>
          <w:szCs w:val="24"/>
          <w:u w:val="single"/>
        </w:rPr>
      </w:pPr>
      <w:r w:rsidRPr="004B0DA6">
        <w:rPr>
          <w:rFonts w:ascii="Times New Roman" w:hAnsi="Times New Roman" w:cs="Times New Roman"/>
          <w:sz w:val="24"/>
          <w:szCs w:val="24"/>
        </w:rPr>
        <w:t>1</w:t>
      </w:r>
      <w:r w:rsidR="00051B50" w:rsidRPr="004B0DA6">
        <w:rPr>
          <w:rFonts w:ascii="Times New Roman" w:hAnsi="Times New Roman" w:cs="Times New Roman"/>
          <w:sz w:val="24"/>
          <w:szCs w:val="24"/>
        </w:rPr>
        <w:t>3</w:t>
      </w:r>
      <w:r w:rsidRPr="004B0DA6">
        <w:rPr>
          <w:rFonts w:ascii="Times New Roman" w:hAnsi="Times New Roman" w:cs="Times New Roman"/>
          <w:sz w:val="24"/>
          <w:szCs w:val="24"/>
        </w:rPr>
        <w:t xml:space="preserve">. </w:t>
      </w:r>
      <w:r w:rsidRPr="004B0DA6">
        <w:rPr>
          <w:rFonts w:ascii="Times New Roman" w:hAnsi="Times New Roman" w:cs="Times New Roman"/>
          <w:sz w:val="24"/>
          <w:szCs w:val="24"/>
          <w:u w:val="single"/>
        </w:rPr>
        <w:t>Defined Benefit Cost-Sharing Plans</w:t>
      </w:r>
    </w:p>
    <w:p w14:paraId="2596DC41" w14:textId="77777777" w:rsidR="0056179C" w:rsidRPr="004B0DA6" w:rsidRDefault="0056179C" w:rsidP="00203597">
      <w:pPr>
        <w:pStyle w:val="BodyTextIndent"/>
        <w:spacing w:after="0" w:line="240" w:lineRule="auto"/>
        <w:ind w:left="0"/>
        <w:rPr>
          <w:rFonts w:ascii="Times New Roman" w:hAnsi="Times New Roman" w:cs="Times New Roman"/>
          <w:sz w:val="24"/>
          <w:szCs w:val="24"/>
          <w:u w:val="single"/>
        </w:rPr>
      </w:pPr>
    </w:p>
    <w:p w14:paraId="2BEDAAA6" w14:textId="77777777" w:rsidR="004F7A7D" w:rsidRPr="004B0DA6" w:rsidRDefault="0056179C" w:rsidP="00203597">
      <w:pPr>
        <w:pStyle w:val="BodyTextIndent"/>
        <w:spacing w:after="0"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rPr>
        <w:t>For purposes of measuring the net pension liability, deferred outflows of resources and deferred inflows of resources related to pensions, and pension expense, information about the fiduciary net position of the Local Governmental Employees’ Retirement System (LGERS) and additions to/deductions from LGERS’ fiduciary net position have been determined on the same basis as they are reported by LGERS.  For this purpose, plan member contributions are recognized in the period in which the contributions are due.  The City of Dogwood’s employer contributions are recognized when due and the City of Dogwood has a legal</w:t>
      </w:r>
      <w:r w:rsidRPr="004B0DA6">
        <w:rPr>
          <w:rFonts w:ascii="Times New Roman" w:hAnsi="Times New Roman" w:cs="Times New Roman"/>
        </w:rPr>
        <w:t xml:space="preserve"> </w:t>
      </w:r>
      <w:r w:rsidRPr="004B0DA6">
        <w:rPr>
          <w:rFonts w:ascii="Times New Roman" w:hAnsi="Times New Roman" w:cs="Times New Roman"/>
          <w:sz w:val="24"/>
          <w:szCs w:val="24"/>
        </w:rPr>
        <w:t>requirement to provide the contributions.  Benefits and refunds are recognized when due and payable in accordance with the terms of LGERS.  Investments are reported at fair value.</w:t>
      </w:r>
    </w:p>
    <w:p w14:paraId="6DC28327" w14:textId="77777777" w:rsidR="00530D3B" w:rsidRPr="004B0DA6" w:rsidRDefault="00530D3B" w:rsidP="00203597">
      <w:pPr>
        <w:pStyle w:val="BodyTextIndent"/>
        <w:spacing w:after="0" w:line="240" w:lineRule="auto"/>
        <w:ind w:left="0"/>
        <w:jc w:val="both"/>
        <w:rPr>
          <w:rFonts w:ascii="Times New Roman" w:hAnsi="Times New Roman" w:cs="Times New Roman"/>
          <w:sz w:val="24"/>
          <w:szCs w:val="24"/>
        </w:rPr>
      </w:pPr>
    </w:p>
    <w:p w14:paraId="61CDFBB3" w14:textId="6290CCFF" w:rsidR="008504B7" w:rsidRPr="004B0DA6" w:rsidRDefault="0056179C" w:rsidP="00203597">
      <w:pPr>
        <w:pStyle w:val="BodyTextIndent"/>
        <w:spacing w:after="0"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rPr>
        <w:t xml:space="preserve">For purposes of measuring the net pension expense, information about the fiduciary net position of the Firefighters’ and Rescue Squad Workers’ Pension Fund (FRSWPF) and additions to/deductions from FRSWPF’s fiduciary net position have been determined on the same basis as they are reported by FRSWPF.  For this purpose, benefit payments (including refunds of employee </w:t>
      </w:r>
      <w:r w:rsidRPr="004B0DA6">
        <w:rPr>
          <w:rFonts w:ascii="Times New Roman" w:hAnsi="Times New Roman" w:cs="Times New Roman"/>
          <w:sz w:val="24"/>
          <w:szCs w:val="24"/>
        </w:rPr>
        <w:lastRenderedPageBreak/>
        <w:t>contributions) are recognized when due and payable in accordance with the benefit terms.  Investments are reported at fair value.</w:t>
      </w:r>
    </w:p>
    <w:p w14:paraId="7F59579C" w14:textId="2182EC97" w:rsidR="008504B7" w:rsidRPr="004B0DA6" w:rsidRDefault="008504B7" w:rsidP="00203597">
      <w:pPr>
        <w:pStyle w:val="BodyTextIndent"/>
        <w:spacing w:after="0" w:line="240" w:lineRule="auto"/>
        <w:ind w:left="0"/>
        <w:jc w:val="both"/>
        <w:rPr>
          <w:rFonts w:ascii="Times New Roman" w:hAnsi="Times New Roman" w:cs="Times New Roman"/>
          <w:sz w:val="24"/>
          <w:szCs w:val="24"/>
        </w:rPr>
      </w:pPr>
    </w:p>
    <w:p w14:paraId="36BB2C81" w14:textId="77777777" w:rsidR="008504B7" w:rsidRPr="004B0DA6" w:rsidRDefault="008504B7" w:rsidP="00203597">
      <w:pPr>
        <w:pStyle w:val="BodyTextIndent"/>
        <w:spacing w:after="0" w:line="240" w:lineRule="auto"/>
        <w:ind w:left="0"/>
        <w:jc w:val="both"/>
        <w:rPr>
          <w:rFonts w:ascii="Times New Roman" w:hAnsi="Times New Roman" w:cs="Times New Roman"/>
          <w:sz w:val="24"/>
          <w:szCs w:val="24"/>
        </w:rPr>
      </w:pPr>
    </w:p>
    <w:p w14:paraId="45C2E796" w14:textId="4B399078" w:rsidR="0056179C" w:rsidRPr="004B0DA6" w:rsidRDefault="008504B7" w:rsidP="00203597">
      <w:pPr>
        <w:pStyle w:val="BodyTextIndent"/>
        <w:pBdr>
          <w:top w:val="thickThinSmallGap" w:sz="24" w:space="1" w:color="auto"/>
          <w:left w:val="thickThinSmallGap" w:sz="24" w:space="4" w:color="auto"/>
          <w:bottom w:val="thickThinSmallGap" w:sz="24" w:space="1" w:color="auto"/>
          <w:right w:val="thickThinSmallGap" w:sz="24" w:space="4" w:color="auto"/>
        </w:pBdr>
        <w:spacing w:after="0" w:line="240" w:lineRule="auto"/>
        <w:ind w:left="0"/>
        <w:jc w:val="both"/>
        <w:rPr>
          <w:rFonts w:ascii="Times New Roman" w:hAnsi="Times New Roman" w:cs="Times New Roman"/>
        </w:rPr>
      </w:pPr>
      <w:r w:rsidRPr="004B0DA6">
        <w:rPr>
          <w:rFonts w:ascii="Times New Roman" w:hAnsi="Times New Roman" w:cs="Times New Roman"/>
          <w:b/>
          <w:sz w:val="24"/>
          <w:szCs w:val="24"/>
        </w:rPr>
        <w:t>N</w:t>
      </w:r>
      <w:r w:rsidR="0056179C" w:rsidRPr="004B0DA6">
        <w:rPr>
          <w:rFonts w:ascii="Times New Roman" w:hAnsi="Times New Roman" w:cs="Times New Roman"/>
          <w:b/>
          <w:sz w:val="24"/>
          <w:szCs w:val="24"/>
        </w:rPr>
        <w:t>ote to preparer:</w:t>
      </w:r>
      <w:r w:rsidR="0056179C" w:rsidRPr="004B0DA6">
        <w:rPr>
          <w:rFonts w:ascii="Times New Roman" w:hAnsi="Times New Roman" w:cs="Times New Roman"/>
          <w:sz w:val="24"/>
          <w:szCs w:val="24"/>
        </w:rPr>
        <w:t xml:space="preserve">  If the revenue and expense amounts contributed by the State are deemed immaterial, make no note disclosure regarding the FRSWPF.  RSI for the FRSWPF should be excluded as well.  This paragraph should be modified if retiree benefits are being provided through the State’s Retiree Health Benefit Fund (RHBF) or the Disability Income Plan of NC (DIPNC).  Please see the Carolina County Board of Education Statements for sample reporting for </w:t>
      </w:r>
      <w:proofErr w:type="gramStart"/>
      <w:r w:rsidR="0056179C" w:rsidRPr="004B0DA6">
        <w:rPr>
          <w:rFonts w:ascii="Times New Roman" w:hAnsi="Times New Roman" w:cs="Times New Roman"/>
          <w:sz w:val="24"/>
          <w:szCs w:val="24"/>
        </w:rPr>
        <w:t>both of these</w:t>
      </w:r>
      <w:proofErr w:type="gramEnd"/>
      <w:r w:rsidR="0056179C" w:rsidRPr="004B0DA6">
        <w:rPr>
          <w:rFonts w:ascii="Times New Roman" w:hAnsi="Times New Roman" w:cs="Times New Roman"/>
          <w:sz w:val="24"/>
          <w:szCs w:val="24"/>
        </w:rPr>
        <w:t xml:space="preserve"> plans.  </w:t>
      </w:r>
    </w:p>
    <w:p w14:paraId="486A5279" w14:textId="77777777" w:rsidR="00F9341A" w:rsidRPr="004B0DA6" w:rsidRDefault="00F9341A" w:rsidP="00F9341A">
      <w:pPr>
        <w:ind w:left="720"/>
        <w:rPr>
          <w:rFonts w:ascii="Times New Roman" w:hAnsi="Times New Roman" w:cs="Times New Roman"/>
          <w:sz w:val="24"/>
        </w:rPr>
      </w:pPr>
    </w:p>
    <w:p w14:paraId="01717D78" w14:textId="6815382A" w:rsidR="00D02F4D" w:rsidRPr="004B0DA6" w:rsidRDefault="00C37EE6" w:rsidP="00203597">
      <w:pPr>
        <w:pStyle w:val="BodyTextIndent"/>
        <w:spacing w:after="0" w:line="240" w:lineRule="auto"/>
        <w:ind w:left="0"/>
        <w:rPr>
          <w:rFonts w:ascii="Times New Roman" w:hAnsi="Times New Roman" w:cs="Times New Roman"/>
          <w:sz w:val="24"/>
          <w:szCs w:val="24"/>
        </w:rPr>
      </w:pPr>
      <w:r w:rsidRPr="004B0DA6">
        <w:rPr>
          <w:rFonts w:ascii="Times New Roman" w:hAnsi="Times New Roman" w:cs="Times New Roman"/>
          <w:sz w:val="24"/>
          <w:szCs w:val="24"/>
          <w:highlight w:val="yellow"/>
        </w:rPr>
        <w:t>14. Accounting for Changes and Error Corrections</w:t>
      </w:r>
    </w:p>
    <w:p w14:paraId="69EADBB7" w14:textId="77777777" w:rsidR="00C37EE6" w:rsidRPr="004B0DA6" w:rsidRDefault="00C37EE6" w:rsidP="00203597">
      <w:pPr>
        <w:pStyle w:val="BodyTextIndent"/>
        <w:spacing w:after="0" w:line="240" w:lineRule="auto"/>
        <w:ind w:left="0"/>
        <w:rPr>
          <w:rFonts w:ascii="Times New Roman" w:hAnsi="Times New Roman" w:cs="Times New Roman"/>
          <w:sz w:val="24"/>
          <w:szCs w:val="24"/>
        </w:rPr>
      </w:pPr>
    </w:p>
    <w:p w14:paraId="13ECB0BF" w14:textId="111881D2" w:rsidR="00B83600" w:rsidRPr="004B0DA6" w:rsidRDefault="00C37EE6" w:rsidP="007A4AD5">
      <w:pPr>
        <w:pStyle w:val="BodyTextIndent"/>
        <w:spacing w:after="0" w:line="240" w:lineRule="auto"/>
        <w:ind w:left="0"/>
        <w:jc w:val="both"/>
        <w:rPr>
          <w:rFonts w:ascii="Times New Roman" w:hAnsi="Times New Roman" w:cs="Times New Roman"/>
          <w:sz w:val="24"/>
          <w:szCs w:val="24"/>
          <w:highlight w:val="yellow"/>
        </w:rPr>
      </w:pPr>
      <w:r w:rsidRPr="004B0DA6">
        <w:rPr>
          <w:rFonts w:ascii="Times New Roman" w:hAnsi="Times New Roman" w:cs="Times New Roman"/>
          <w:sz w:val="24"/>
          <w:szCs w:val="24"/>
          <w:highlight w:val="yellow"/>
        </w:rPr>
        <w:t xml:space="preserve">For the year ended June 30, </w:t>
      </w:r>
      <w:r w:rsidR="00993C81" w:rsidRPr="004B0DA6">
        <w:rPr>
          <w:rFonts w:ascii="Times New Roman" w:hAnsi="Times New Roman" w:cs="Times New Roman"/>
          <w:sz w:val="24"/>
          <w:szCs w:val="24"/>
          <w:highlight w:val="yellow"/>
        </w:rPr>
        <w:t>2024,</w:t>
      </w:r>
      <w:r w:rsidRPr="004B0DA6">
        <w:rPr>
          <w:rFonts w:ascii="Times New Roman" w:hAnsi="Times New Roman" w:cs="Times New Roman"/>
          <w:sz w:val="24"/>
          <w:szCs w:val="24"/>
          <w:highlight w:val="yellow"/>
        </w:rPr>
        <w:t xml:space="preserve"> the City implemented the requirements of GASB Statement No. 100, Accounting for Changes and Error Corrections. The Statement provides a definition of </w:t>
      </w:r>
      <w:r w:rsidR="007857B4" w:rsidRPr="004B0DA6">
        <w:rPr>
          <w:rFonts w:ascii="Times New Roman" w:hAnsi="Times New Roman" w:cs="Times New Roman"/>
          <w:sz w:val="24"/>
          <w:szCs w:val="24"/>
          <w:highlight w:val="yellow"/>
        </w:rPr>
        <w:t>accounting changes ma</w:t>
      </w:r>
      <w:r w:rsidR="00B83600" w:rsidRPr="004B0DA6">
        <w:rPr>
          <w:rFonts w:ascii="Times New Roman" w:hAnsi="Times New Roman" w:cs="Times New Roman"/>
          <w:sz w:val="24"/>
          <w:szCs w:val="24"/>
          <w:highlight w:val="yellow"/>
        </w:rPr>
        <w:t>d</w:t>
      </w:r>
      <w:r w:rsidR="007857B4" w:rsidRPr="004B0DA6">
        <w:rPr>
          <w:rFonts w:ascii="Times New Roman" w:hAnsi="Times New Roman" w:cs="Times New Roman"/>
          <w:sz w:val="24"/>
          <w:szCs w:val="24"/>
          <w:highlight w:val="yellow"/>
        </w:rPr>
        <w:t>e</w:t>
      </w:r>
      <w:r w:rsidR="00390D96" w:rsidRPr="004B0DA6">
        <w:rPr>
          <w:rFonts w:ascii="Times New Roman" w:hAnsi="Times New Roman" w:cs="Times New Roman"/>
          <w:sz w:val="24"/>
          <w:szCs w:val="24"/>
          <w:highlight w:val="yellow"/>
        </w:rPr>
        <w:t xml:space="preserve"> </w:t>
      </w:r>
      <w:r w:rsidR="007857B4" w:rsidRPr="004B0DA6">
        <w:rPr>
          <w:rFonts w:ascii="Times New Roman" w:hAnsi="Times New Roman" w:cs="Times New Roman"/>
          <w:sz w:val="24"/>
          <w:szCs w:val="24"/>
          <w:highlight w:val="yellow"/>
        </w:rPr>
        <w:t xml:space="preserve">in accounting principles, </w:t>
      </w:r>
      <w:r w:rsidR="00390D96" w:rsidRPr="004B0DA6">
        <w:rPr>
          <w:rFonts w:ascii="Times New Roman" w:hAnsi="Times New Roman" w:cs="Times New Roman"/>
          <w:sz w:val="24"/>
          <w:szCs w:val="24"/>
          <w:highlight w:val="yellow"/>
        </w:rPr>
        <w:t xml:space="preserve">changes made within the </w:t>
      </w:r>
      <w:r w:rsidR="007857B4" w:rsidRPr="004B0DA6">
        <w:rPr>
          <w:rFonts w:ascii="Times New Roman" w:hAnsi="Times New Roman" w:cs="Times New Roman"/>
          <w:sz w:val="24"/>
          <w:szCs w:val="24"/>
          <w:highlight w:val="yellow"/>
        </w:rPr>
        <w:t>financial reporting entity, changes in accounting estimate</w:t>
      </w:r>
      <w:r w:rsidR="00B83600" w:rsidRPr="004B0DA6">
        <w:rPr>
          <w:rFonts w:ascii="Times New Roman" w:hAnsi="Times New Roman" w:cs="Times New Roman"/>
          <w:sz w:val="24"/>
          <w:szCs w:val="24"/>
          <w:highlight w:val="yellow"/>
        </w:rPr>
        <w:t>, and error correction</w:t>
      </w:r>
      <w:r w:rsidR="00390D96" w:rsidRPr="004B0DA6">
        <w:rPr>
          <w:rFonts w:ascii="Times New Roman" w:hAnsi="Times New Roman" w:cs="Times New Roman"/>
          <w:sz w:val="24"/>
          <w:szCs w:val="24"/>
          <w:highlight w:val="yellow"/>
        </w:rPr>
        <w:t>s</w:t>
      </w:r>
      <w:r w:rsidR="007857B4" w:rsidRPr="004B0DA6">
        <w:rPr>
          <w:rFonts w:ascii="Times New Roman" w:hAnsi="Times New Roman" w:cs="Times New Roman"/>
          <w:sz w:val="24"/>
          <w:szCs w:val="24"/>
          <w:highlight w:val="yellow"/>
        </w:rPr>
        <w:t>.</w:t>
      </w:r>
      <w:r w:rsidR="00B83600" w:rsidRPr="004B0DA6">
        <w:rPr>
          <w:rFonts w:ascii="Times New Roman" w:hAnsi="Times New Roman" w:cs="Times New Roman"/>
          <w:sz w:val="24"/>
          <w:szCs w:val="24"/>
          <w:highlight w:val="yellow"/>
        </w:rPr>
        <w:t xml:space="preserve"> The guidance will enhance the clarity for accounting and financial reporting requirements and result in greater consistency for these transactions. </w:t>
      </w:r>
      <w:r w:rsidR="007857B4" w:rsidRPr="004B0DA6">
        <w:rPr>
          <w:rFonts w:ascii="Times New Roman" w:hAnsi="Times New Roman" w:cs="Times New Roman"/>
          <w:sz w:val="24"/>
          <w:szCs w:val="24"/>
          <w:highlight w:val="yellow"/>
        </w:rPr>
        <w:t xml:space="preserve"> </w:t>
      </w:r>
    </w:p>
    <w:p w14:paraId="5F0D22DE" w14:textId="77777777" w:rsidR="00390D96" w:rsidRPr="004B0DA6" w:rsidRDefault="00390D96" w:rsidP="007A4AD5">
      <w:pPr>
        <w:pStyle w:val="BodyTextIndent"/>
        <w:spacing w:after="0" w:line="240" w:lineRule="auto"/>
        <w:ind w:left="0"/>
        <w:jc w:val="both"/>
        <w:rPr>
          <w:rFonts w:ascii="Times New Roman" w:hAnsi="Times New Roman" w:cs="Times New Roman"/>
          <w:sz w:val="24"/>
          <w:szCs w:val="24"/>
          <w:highlight w:val="yellow"/>
        </w:rPr>
      </w:pPr>
    </w:p>
    <w:p w14:paraId="4735EA7C" w14:textId="2681BAAD" w:rsidR="00B528C6" w:rsidRPr="004B0DA6" w:rsidRDefault="00390D96" w:rsidP="007A4AD5">
      <w:pPr>
        <w:pStyle w:val="BodyTextIndent"/>
        <w:spacing w:after="0" w:line="240" w:lineRule="auto"/>
        <w:ind w:left="0"/>
        <w:jc w:val="both"/>
        <w:rPr>
          <w:rFonts w:ascii="Times New Roman" w:hAnsi="Times New Roman" w:cs="Times New Roman"/>
          <w:sz w:val="24"/>
          <w:szCs w:val="24"/>
          <w:highlight w:val="yellow"/>
        </w:rPr>
      </w:pPr>
      <w:r w:rsidRPr="004B0DA6">
        <w:rPr>
          <w:rFonts w:ascii="Times New Roman" w:hAnsi="Times New Roman" w:cs="Times New Roman"/>
          <w:sz w:val="24"/>
          <w:szCs w:val="24"/>
          <w:highlight w:val="yellow"/>
        </w:rPr>
        <w:t xml:space="preserve">Accounting errors in effect at the end of the prior fiscal year </w:t>
      </w:r>
      <w:r w:rsidR="00D02F4D" w:rsidRPr="004B0DA6">
        <w:rPr>
          <w:rFonts w:ascii="Times New Roman" w:hAnsi="Times New Roman" w:cs="Times New Roman"/>
          <w:sz w:val="24"/>
          <w:szCs w:val="24"/>
          <w:highlight w:val="yellow"/>
        </w:rPr>
        <w:t>were in Public Safety Capital Grants and Contributions. At June 2023, a numerical error was made during reconciliation</w:t>
      </w:r>
      <w:r w:rsidR="00040608" w:rsidRPr="004B0DA6">
        <w:rPr>
          <w:rFonts w:ascii="Times New Roman" w:hAnsi="Times New Roman" w:cs="Times New Roman"/>
          <w:sz w:val="24"/>
          <w:szCs w:val="24"/>
          <w:highlight w:val="yellow"/>
        </w:rPr>
        <w:t xml:space="preserve"> </w:t>
      </w:r>
      <w:r w:rsidR="00D02F4D" w:rsidRPr="004B0DA6">
        <w:rPr>
          <w:rFonts w:ascii="Times New Roman" w:hAnsi="Times New Roman" w:cs="Times New Roman"/>
          <w:sz w:val="24"/>
          <w:szCs w:val="24"/>
          <w:highlight w:val="yellow"/>
        </w:rPr>
        <w:t xml:space="preserve">of </w:t>
      </w:r>
      <w:r w:rsidR="00040608" w:rsidRPr="004B0DA6">
        <w:rPr>
          <w:rFonts w:ascii="Times New Roman" w:hAnsi="Times New Roman" w:cs="Times New Roman"/>
          <w:sz w:val="24"/>
          <w:szCs w:val="24"/>
          <w:highlight w:val="yellow"/>
        </w:rPr>
        <w:t>the Public Safety general fund. As a result, an adjustment of $</w:t>
      </w:r>
      <w:r w:rsidR="00995619" w:rsidRPr="004B0DA6">
        <w:rPr>
          <w:rFonts w:ascii="Times New Roman" w:hAnsi="Times New Roman" w:cs="Times New Roman"/>
          <w:sz w:val="24"/>
          <w:szCs w:val="24"/>
          <w:highlight w:val="yellow"/>
        </w:rPr>
        <w:t>106,458</w:t>
      </w:r>
      <w:r w:rsidR="00040608" w:rsidRPr="004B0DA6">
        <w:rPr>
          <w:rFonts w:ascii="Times New Roman" w:hAnsi="Times New Roman" w:cs="Times New Roman"/>
          <w:sz w:val="24"/>
          <w:szCs w:val="24"/>
          <w:highlight w:val="yellow"/>
        </w:rPr>
        <w:t xml:space="preserve"> was entered </w:t>
      </w:r>
      <w:r w:rsidR="005E6183" w:rsidRPr="004B0DA6">
        <w:rPr>
          <w:rFonts w:ascii="Times New Roman" w:hAnsi="Times New Roman" w:cs="Times New Roman"/>
          <w:sz w:val="24"/>
          <w:szCs w:val="24"/>
          <w:highlight w:val="yellow"/>
        </w:rPr>
        <w:t xml:space="preserve">in FY 2024 </w:t>
      </w:r>
      <w:r w:rsidR="00040608" w:rsidRPr="004B0DA6">
        <w:rPr>
          <w:rFonts w:ascii="Times New Roman" w:hAnsi="Times New Roman" w:cs="Times New Roman"/>
          <w:sz w:val="24"/>
          <w:szCs w:val="24"/>
          <w:highlight w:val="yellow"/>
        </w:rPr>
        <w:t>to</w:t>
      </w:r>
      <w:r w:rsidR="005E6183" w:rsidRPr="004B0DA6">
        <w:rPr>
          <w:rFonts w:ascii="Times New Roman" w:hAnsi="Times New Roman" w:cs="Times New Roman"/>
          <w:sz w:val="24"/>
          <w:szCs w:val="24"/>
          <w:highlight w:val="yellow"/>
        </w:rPr>
        <w:t xml:space="preserve"> correct the error</w:t>
      </w:r>
      <w:r w:rsidR="004E7069" w:rsidRPr="004B0DA6">
        <w:rPr>
          <w:rFonts w:ascii="Times New Roman" w:hAnsi="Times New Roman" w:cs="Times New Roman"/>
          <w:sz w:val="24"/>
          <w:szCs w:val="24"/>
          <w:highlight w:val="yellow"/>
        </w:rPr>
        <w:t xml:space="preserve"> and is a decrease to</w:t>
      </w:r>
      <w:r w:rsidR="009F32C5" w:rsidRPr="004B0DA6">
        <w:rPr>
          <w:rFonts w:ascii="Times New Roman" w:hAnsi="Times New Roman" w:cs="Times New Roman"/>
          <w:sz w:val="24"/>
          <w:szCs w:val="24"/>
          <w:highlight w:val="yellow"/>
        </w:rPr>
        <w:t xml:space="preserve"> deferred inflow of resources</w:t>
      </w:r>
      <w:r w:rsidR="005E6183" w:rsidRPr="004B0DA6">
        <w:rPr>
          <w:rFonts w:ascii="Times New Roman" w:hAnsi="Times New Roman" w:cs="Times New Roman"/>
          <w:sz w:val="24"/>
          <w:szCs w:val="24"/>
          <w:highlight w:val="yellow"/>
        </w:rPr>
        <w:t xml:space="preserve">. This restatement </w:t>
      </w:r>
      <w:proofErr w:type="gramStart"/>
      <w:r w:rsidR="005E6183" w:rsidRPr="004B0DA6">
        <w:rPr>
          <w:rFonts w:ascii="Times New Roman" w:hAnsi="Times New Roman" w:cs="Times New Roman"/>
          <w:sz w:val="24"/>
          <w:szCs w:val="24"/>
          <w:highlight w:val="yellow"/>
        </w:rPr>
        <w:t>has an effect on</w:t>
      </w:r>
      <w:proofErr w:type="gramEnd"/>
      <w:r w:rsidR="005E6183" w:rsidRPr="004B0DA6">
        <w:rPr>
          <w:rFonts w:ascii="Times New Roman" w:hAnsi="Times New Roman" w:cs="Times New Roman"/>
          <w:sz w:val="24"/>
          <w:szCs w:val="24"/>
          <w:highlight w:val="yellow"/>
        </w:rPr>
        <w:t xml:space="preserve"> </w:t>
      </w:r>
      <w:r w:rsidR="004E7069" w:rsidRPr="004B0DA6">
        <w:rPr>
          <w:rFonts w:ascii="Times New Roman" w:hAnsi="Times New Roman" w:cs="Times New Roman"/>
          <w:sz w:val="24"/>
          <w:szCs w:val="24"/>
          <w:highlight w:val="yellow"/>
        </w:rPr>
        <w:t>the</w:t>
      </w:r>
      <w:r w:rsidR="000224D6" w:rsidRPr="004B0DA6">
        <w:rPr>
          <w:rFonts w:ascii="Times New Roman" w:hAnsi="Times New Roman" w:cs="Times New Roman"/>
          <w:sz w:val="24"/>
          <w:szCs w:val="24"/>
          <w:highlight w:val="yellow"/>
        </w:rPr>
        <w:t xml:space="preserve"> </w:t>
      </w:r>
      <w:r w:rsidR="0084682A" w:rsidRPr="004B0DA6">
        <w:rPr>
          <w:rFonts w:ascii="Times New Roman" w:hAnsi="Times New Roman" w:cs="Times New Roman"/>
          <w:sz w:val="24"/>
          <w:szCs w:val="24"/>
          <w:highlight w:val="yellow"/>
        </w:rPr>
        <w:t>m</w:t>
      </w:r>
      <w:r w:rsidR="000224D6" w:rsidRPr="004B0DA6">
        <w:rPr>
          <w:rFonts w:ascii="Times New Roman" w:hAnsi="Times New Roman" w:cs="Times New Roman"/>
          <w:sz w:val="24"/>
          <w:szCs w:val="24"/>
          <w:highlight w:val="yellow"/>
        </w:rPr>
        <w:t xml:space="preserve">ajor </w:t>
      </w:r>
      <w:r w:rsidR="0084682A" w:rsidRPr="004B0DA6">
        <w:rPr>
          <w:rFonts w:ascii="Times New Roman" w:hAnsi="Times New Roman" w:cs="Times New Roman"/>
          <w:sz w:val="24"/>
          <w:szCs w:val="24"/>
          <w:highlight w:val="yellow"/>
        </w:rPr>
        <w:t>f</w:t>
      </w:r>
      <w:r w:rsidR="000224D6" w:rsidRPr="004B0DA6">
        <w:rPr>
          <w:rFonts w:ascii="Times New Roman" w:hAnsi="Times New Roman" w:cs="Times New Roman"/>
          <w:sz w:val="24"/>
          <w:szCs w:val="24"/>
          <w:highlight w:val="yellow"/>
        </w:rPr>
        <w:t>unds,</w:t>
      </w:r>
      <w:r w:rsidR="004E7069" w:rsidRPr="004B0DA6">
        <w:rPr>
          <w:rFonts w:ascii="Times New Roman" w:hAnsi="Times New Roman" w:cs="Times New Roman"/>
          <w:sz w:val="24"/>
          <w:szCs w:val="24"/>
          <w:highlight w:val="yellow"/>
        </w:rPr>
        <w:t xml:space="preserve"> </w:t>
      </w:r>
      <w:r w:rsidR="005E6183" w:rsidRPr="004B0DA6">
        <w:rPr>
          <w:rFonts w:ascii="Times New Roman" w:hAnsi="Times New Roman" w:cs="Times New Roman"/>
          <w:sz w:val="24"/>
          <w:szCs w:val="24"/>
          <w:highlight w:val="yellow"/>
        </w:rPr>
        <w:t>balance sheet</w:t>
      </w:r>
      <w:r w:rsidR="005D4D01" w:rsidRPr="004B0DA6">
        <w:rPr>
          <w:rFonts w:ascii="Times New Roman" w:hAnsi="Times New Roman" w:cs="Times New Roman"/>
          <w:sz w:val="24"/>
          <w:szCs w:val="24"/>
          <w:highlight w:val="yellow"/>
        </w:rPr>
        <w:t xml:space="preserve"> and equity</w:t>
      </w:r>
      <w:r w:rsidR="004E7069" w:rsidRPr="004B0DA6">
        <w:rPr>
          <w:rFonts w:ascii="Times New Roman" w:hAnsi="Times New Roman" w:cs="Times New Roman"/>
          <w:sz w:val="24"/>
          <w:szCs w:val="24"/>
          <w:highlight w:val="yellow"/>
        </w:rPr>
        <w:t>.</w:t>
      </w:r>
      <w:r w:rsidR="005E6183" w:rsidRPr="004B0DA6">
        <w:rPr>
          <w:rFonts w:ascii="Times New Roman" w:hAnsi="Times New Roman" w:cs="Times New Roman"/>
          <w:sz w:val="24"/>
          <w:szCs w:val="24"/>
          <w:highlight w:val="yellow"/>
        </w:rPr>
        <w:t xml:space="preserve"> </w:t>
      </w:r>
    </w:p>
    <w:p w14:paraId="61367457" w14:textId="77777777" w:rsidR="00D02F4D" w:rsidRPr="004B0DA6" w:rsidRDefault="00D02F4D" w:rsidP="007A4AD5">
      <w:pPr>
        <w:pStyle w:val="BodyTextIndent"/>
        <w:spacing w:after="0" w:line="240" w:lineRule="auto"/>
        <w:ind w:left="0"/>
        <w:jc w:val="both"/>
        <w:rPr>
          <w:rFonts w:ascii="Times New Roman" w:hAnsi="Times New Roman" w:cs="Times New Roman"/>
          <w:sz w:val="24"/>
          <w:szCs w:val="24"/>
          <w:highlight w:val="yellow"/>
        </w:rPr>
      </w:pPr>
    </w:p>
    <w:p w14:paraId="0938EEF2" w14:textId="3C4D023B" w:rsidR="00D02F4D" w:rsidRPr="004B0DA6" w:rsidRDefault="00D02F4D" w:rsidP="007A4AD5">
      <w:pPr>
        <w:pStyle w:val="BodyTextIndent"/>
        <w:spacing w:after="0"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highlight w:val="yellow"/>
        </w:rPr>
        <w:t>Error Correction: During FY 2024, the City of Dogwood identified an error in the Government Wide</w:t>
      </w:r>
      <w:r w:rsidR="000224D6" w:rsidRPr="004B0DA6">
        <w:rPr>
          <w:rFonts w:ascii="Times New Roman" w:hAnsi="Times New Roman" w:cs="Times New Roman"/>
          <w:sz w:val="24"/>
          <w:szCs w:val="24"/>
          <w:highlight w:val="yellow"/>
        </w:rPr>
        <w:t>-Governmental</w:t>
      </w:r>
      <w:r w:rsidRPr="004B0DA6">
        <w:rPr>
          <w:rFonts w:ascii="Times New Roman" w:hAnsi="Times New Roman" w:cs="Times New Roman"/>
          <w:sz w:val="24"/>
          <w:szCs w:val="24"/>
          <w:highlight w:val="yellow"/>
        </w:rPr>
        <w:t xml:space="preserve"> Activities. The effect of that error is shown in the table below.</w:t>
      </w:r>
      <w:r w:rsidRPr="004B0DA6">
        <w:rPr>
          <w:rFonts w:ascii="Times New Roman" w:hAnsi="Times New Roman" w:cs="Times New Roman"/>
          <w:sz w:val="24"/>
          <w:szCs w:val="24"/>
        </w:rPr>
        <w:t xml:space="preserve"> </w:t>
      </w:r>
    </w:p>
    <w:p w14:paraId="72117CD7" w14:textId="77777777" w:rsidR="00995619" w:rsidRPr="004B0DA6" w:rsidRDefault="00995619" w:rsidP="007A4AD5">
      <w:pPr>
        <w:pStyle w:val="BodyTextIndent"/>
        <w:spacing w:after="0" w:line="240" w:lineRule="auto"/>
        <w:ind w:left="0"/>
        <w:jc w:val="both"/>
        <w:rPr>
          <w:rFonts w:ascii="Times New Roman" w:hAnsi="Times New Roman" w:cs="Times New Roman"/>
          <w:sz w:val="24"/>
          <w:szCs w:val="24"/>
        </w:rPr>
      </w:pPr>
    </w:p>
    <w:p w14:paraId="2917864D" w14:textId="460D610F" w:rsidR="00995619" w:rsidRPr="004B0DA6" w:rsidRDefault="0023586B" w:rsidP="00D02F4D">
      <w:pPr>
        <w:pStyle w:val="BodyTextIndent"/>
        <w:spacing w:after="0" w:line="240" w:lineRule="auto"/>
        <w:ind w:left="0"/>
        <w:rPr>
          <w:rFonts w:ascii="Times New Roman" w:hAnsi="Times New Roman" w:cs="Times New Roman"/>
        </w:rPr>
      </w:pPr>
      <w:r w:rsidRPr="004B0DA6">
        <w:rPr>
          <w:rFonts w:ascii="Times New Roman" w:hAnsi="Times New Roman" w:cs="Times New Roman"/>
          <w:noProof/>
          <w:sz w:val="24"/>
          <w:szCs w:val="24"/>
        </w:rPr>
        <w:drawing>
          <wp:inline distT="0" distB="0" distL="0" distR="0" wp14:anchorId="13E630BE" wp14:editId="76FCBD81">
            <wp:extent cx="5343525" cy="2096440"/>
            <wp:effectExtent l="0" t="0" r="0" b="0"/>
            <wp:docPr id="288446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2542" cy="2119594"/>
                    </a:xfrm>
                    <a:prstGeom prst="rect">
                      <a:avLst/>
                    </a:prstGeom>
                    <a:noFill/>
                    <a:ln>
                      <a:noFill/>
                    </a:ln>
                  </pic:spPr>
                </pic:pic>
              </a:graphicData>
            </a:graphic>
          </wp:inline>
        </w:drawing>
      </w:r>
    </w:p>
    <w:p w14:paraId="07804E7F" w14:textId="77777777" w:rsidR="00995619" w:rsidRPr="004B0DA6" w:rsidRDefault="00995619" w:rsidP="00D02F4D">
      <w:pPr>
        <w:pStyle w:val="BodyTextIndent"/>
        <w:spacing w:after="0" w:line="240" w:lineRule="auto"/>
        <w:ind w:left="0"/>
        <w:rPr>
          <w:rFonts w:ascii="Times New Roman" w:hAnsi="Times New Roman" w:cs="Times New Roman"/>
        </w:rPr>
      </w:pPr>
    </w:p>
    <w:p w14:paraId="57C08719" w14:textId="77777777" w:rsidR="00833D80" w:rsidRPr="004B0DA6" w:rsidRDefault="00833D80" w:rsidP="00833D80">
      <w:pPr>
        <w:spacing w:after="0"/>
        <w:jc w:val="both"/>
        <w:rPr>
          <w:rFonts w:ascii="Times New Roman" w:hAnsi="Times New Roman" w:cs="Times New Roman"/>
          <w:sz w:val="24"/>
          <w:szCs w:val="24"/>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240"/>
      </w:tblGrid>
      <w:tr w:rsidR="00833D80" w:rsidRPr="004B0DA6" w14:paraId="2968A8BC" w14:textId="77777777" w:rsidTr="00F200DF">
        <w:tc>
          <w:tcPr>
            <w:tcW w:w="9576" w:type="dxa"/>
          </w:tcPr>
          <w:p w14:paraId="100BA293" w14:textId="6BA1F153" w:rsidR="00833D80" w:rsidRPr="004B0DA6" w:rsidRDefault="00833D80" w:rsidP="00F200DF">
            <w:pPr>
              <w:spacing w:after="0"/>
              <w:jc w:val="both"/>
              <w:rPr>
                <w:rFonts w:ascii="Times New Roman" w:hAnsi="Times New Roman" w:cs="Times New Roman"/>
                <w:sz w:val="24"/>
                <w:szCs w:val="24"/>
                <w:highlight w:val="yellow"/>
              </w:rPr>
            </w:pPr>
            <w:r w:rsidRPr="004B0DA6">
              <w:rPr>
                <w:rFonts w:ascii="Times New Roman" w:hAnsi="Times New Roman" w:cs="Times New Roman"/>
                <w:b/>
                <w:bCs/>
                <w:sz w:val="24"/>
                <w:szCs w:val="24"/>
                <w:highlight w:val="yellow"/>
              </w:rPr>
              <w:lastRenderedPageBreak/>
              <w:t>Note to preparer</w:t>
            </w:r>
            <w:r w:rsidRPr="004B0DA6">
              <w:rPr>
                <w:rFonts w:ascii="Times New Roman" w:hAnsi="Times New Roman" w:cs="Times New Roman"/>
                <w:sz w:val="24"/>
                <w:szCs w:val="24"/>
                <w:highlight w:val="yellow"/>
              </w:rPr>
              <w:t>: Other significant</w:t>
            </w:r>
            <w:r w:rsidR="003516C4" w:rsidRPr="004B0DA6">
              <w:rPr>
                <w:rFonts w:ascii="Times New Roman" w:hAnsi="Times New Roman" w:cs="Times New Roman"/>
                <w:sz w:val="24"/>
                <w:szCs w:val="24"/>
                <w:highlight w:val="yellow"/>
              </w:rPr>
              <w:t xml:space="preserve"> or material </w:t>
            </w:r>
            <w:r w:rsidRPr="004B0DA6">
              <w:rPr>
                <w:rFonts w:ascii="Times New Roman" w:hAnsi="Times New Roman" w:cs="Times New Roman"/>
                <w:sz w:val="24"/>
                <w:szCs w:val="24"/>
                <w:highlight w:val="yellow"/>
              </w:rPr>
              <w:t>instances</w:t>
            </w:r>
            <w:r w:rsidR="007D5AF8" w:rsidRPr="004B0DA6">
              <w:rPr>
                <w:rFonts w:ascii="Times New Roman" w:hAnsi="Times New Roman" w:cs="Times New Roman"/>
                <w:sz w:val="24"/>
                <w:szCs w:val="24"/>
                <w:highlight w:val="yellow"/>
              </w:rPr>
              <w:t xml:space="preserve"> of</w:t>
            </w:r>
            <w:r w:rsidRPr="004B0DA6">
              <w:rPr>
                <w:rFonts w:ascii="Times New Roman" w:hAnsi="Times New Roman" w:cs="Times New Roman"/>
                <w:sz w:val="24"/>
                <w:szCs w:val="24"/>
                <w:highlight w:val="yellow"/>
              </w:rPr>
              <w:t xml:space="preserve"> </w:t>
            </w:r>
            <w:r w:rsidR="00712F27" w:rsidRPr="004B0DA6">
              <w:rPr>
                <w:rFonts w:ascii="Times New Roman" w:hAnsi="Times New Roman" w:cs="Times New Roman"/>
                <w:sz w:val="24"/>
                <w:szCs w:val="24"/>
                <w:highlight w:val="yellow"/>
              </w:rPr>
              <w:t xml:space="preserve">accounting changes and error corrections should be disclosed in this section. Other significant accounting changes and error corrections are </w:t>
            </w:r>
            <w:r w:rsidR="00712F27" w:rsidRPr="004B0DA6">
              <w:rPr>
                <w:rFonts w:ascii="Times New Roman" w:hAnsi="Times New Roman" w:cs="Times New Roman"/>
                <w:highlight w:val="yellow"/>
              </w:rPr>
              <w:t xml:space="preserve">changes made in accounting principles, changes made within the financial reporting entity, </w:t>
            </w:r>
            <w:r w:rsidR="007D5AF8" w:rsidRPr="004B0DA6">
              <w:rPr>
                <w:rFonts w:ascii="Times New Roman" w:hAnsi="Times New Roman" w:cs="Times New Roman"/>
                <w:highlight w:val="yellow"/>
              </w:rPr>
              <w:t xml:space="preserve">and </w:t>
            </w:r>
            <w:r w:rsidR="00712F27" w:rsidRPr="004B0DA6">
              <w:rPr>
                <w:rFonts w:ascii="Times New Roman" w:hAnsi="Times New Roman" w:cs="Times New Roman"/>
                <w:highlight w:val="yellow"/>
              </w:rPr>
              <w:t>changes in accounting estimate</w:t>
            </w:r>
            <w:r w:rsidR="007D5AF8" w:rsidRPr="004B0DA6">
              <w:rPr>
                <w:rFonts w:ascii="Times New Roman" w:hAnsi="Times New Roman" w:cs="Times New Roman"/>
                <w:highlight w:val="yellow"/>
              </w:rPr>
              <w:t xml:space="preserve">. In addition, information should be included in the </w:t>
            </w:r>
            <w:r w:rsidR="003516C4" w:rsidRPr="004B0DA6">
              <w:rPr>
                <w:rFonts w:ascii="Times New Roman" w:hAnsi="Times New Roman" w:cs="Times New Roman"/>
                <w:highlight w:val="yellow"/>
              </w:rPr>
              <w:t xml:space="preserve">MD&amp;A, </w:t>
            </w:r>
            <w:r w:rsidR="007D5AF8" w:rsidRPr="004B0DA6">
              <w:rPr>
                <w:rFonts w:ascii="Times New Roman" w:hAnsi="Times New Roman" w:cs="Times New Roman"/>
                <w:highlight w:val="yellow"/>
              </w:rPr>
              <w:t>RSI</w:t>
            </w:r>
            <w:r w:rsidR="00017095" w:rsidRPr="004B0DA6">
              <w:rPr>
                <w:rFonts w:ascii="Times New Roman" w:hAnsi="Times New Roman" w:cs="Times New Roman"/>
                <w:highlight w:val="yellow"/>
              </w:rPr>
              <w:t>/</w:t>
            </w:r>
            <w:r w:rsidR="007D5AF8" w:rsidRPr="004B0DA6">
              <w:rPr>
                <w:rFonts w:ascii="Times New Roman" w:hAnsi="Times New Roman" w:cs="Times New Roman"/>
                <w:highlight w:val="yellow"/>
              </w:rPr>
              <w:t>SI and should be restated for all periods in which financial statements are presented</w:t>
            </w:r>
            <w:r w:rsidR="00A55641" w:rsidRPr="004B0DA6">
              <w:rPr>
                <w:rFonts w:ascii="Times New Roman" w:hAnsi="Times New Roman" w:cs="Times New Roman"/>
                <w:highlight w:val="yellow"/>
              </w:rPr>
              <w:t xml:space="preserve"> for error corrections</w:t>
            </w:r>
            <w:r w:rsidR="007D5AF8" w:rsidRPr="004B0DA6">
              <w:rPr>
                <w:rFonts w:ascii="Times New Roman" w:hAnsi="Times New Roman" w:cs="Times New Roman"/>
                <w:highlight w:val="yellow"/>
              </w:rPr>
              <w:t xml:space="preserve">. </w:t>
            </w:r>
            <w:r w:rsidR="00712F27" w:rsidRPr="004B0DA6">
              <w:rPr>
                <w:rFonts w:ascii="Times New Roman" w:hAnsi="Times New Roman" w:cs="Times New Roman"/>
                <w:sz w:val="24"/>
                <w:szCs w:val="24"/>
                <w:highlight w:val="yellow"/>
              </w:rPr>
              <w:t xml:space="preserve"> </w:t>
            </w:r>
          </w:p>
        </w:tc>
      </w:tr>
    </w:tbl>
    <w:p w14:paraId="2F1E0B24" w14:textId="77777777" w:rsidR="00833D80" w:rsidRPr="004B0DA6" w:rsidRDefault="00833D80" w:rsidP="00833D80">
      <w:pPr>
        <w:spacing w:after="0"/>
        <w:rPr>
          <w:rFonts w:ascii="Times New Roman" w:hAnsi="Times New Roman" w:cs="Times New Roman"/>
          <w:sz w:val="24"/>
        </w:rPr>
      </w:pPr>
    </w:p>
    <w:p w14:paraId="1F1B0B13" w14:textId="61C4A9CA" w:rsidR="0056179C" w:rsidRPr="004B0DA6" w:rsidRDefault="0056179C" w:rsidP="00203597">
      <w:pPr>
        <w:spacing w:after="0"/>
        <w:rPr>
          <w:rFonts w:ascii="Times New Roman" w:hAnsi="Times New Roman" w:cs="Times New Roman"/>
          <w:b/>
          <w:bCs/>
          <w:sz w:val="24"/>
          <w:szCs w:val="24"/>
        </w:rPr>
      </w:pPr>
      <w:r w:rsidRPr="004B0DA6">
        <w:rPr>
          <w:rFonts w:ascii="Times New Roman" w:hAnsi="Times New Roman" w:cs="Times New Roman"/>
          <w:b/>
          <w:bCs/>
          <w:sz w:val="24"/>
          <w:szCs w:val="24"/>
        </w:rPr>
        <w:t xml:space="preserve">II. </w:t>
      </w:r>
      <w:r w:rsidRPr="004B0DA6">
        <w:rPr>
          <w:rFonts w:ascii="Times New Roman" w:hAnsi="Times New Roman" w:cs="Times New Roman"/>
          <w:b/>
          <w:bCs/>
          <w:sz w:val="24"/>
          <w:szCs w:val="24"/>
          <w:u w:val="single"/>
        </w:rPr>
        <w:t>Stewardship, Compliance, and Accountability</w:t>
      </w:r>
    </w:p>
    <w:p w14:paraId="14DC503E" w14:textId="77777777" w:rsidR="008504B7" w:rsidRPr="004B0DA6" w:rsidRDefault="008504B7" w:rsidP="00203597">
      <w:pPr>
        <w:spacing w:after="0"/>
        <w:rPr>
          <w:rFonts w:ascii="Times New Roman" w:hAnsi="Times New Roman" w:cs="Times New Roman"/>
          <w:sz w:val="24"/>
          <w:szCs w:val="24"/>
        </w:rPr>
      </w:pPr>
    </w:p>
    <w:p w14:paraId="56DE1A2B" w14:textId="50D84BAF" w:rsidR="0056179C" w:rsidRPr="004B0DA6" w:rsidRDefault="0056179C" w:rsidP="00203597">
      <w:pPr>
        <w:spacing w:after="0"/>
        <w:rPr>
          <w:rFonts w:ascii="Times New Roman" w:hAnsi="Times New Roman" w:cs="Times New Roman"/>
          <w:sz w:val="24"/>
          <w:szCs w:val="24"/>
        </w:rPr>
      </w:pPr>
      <w:r w:rsidRPr="004B0DA6">
        <w:rPr>
          <w:rFonts w:ascii="Times New Roman" w:hAnsi="Times New Roman" w:cs="Times New Roman"/>
          <w:sz w:val="24"/>
          <w:szCs w:val="24"/>
        </w:rPr>
        <w:t xml:space="preserve">A. </w:t>
      </w:r>
      <w:r w:rsidRPr="004B0DA6">
        <w:rPr>
          <w:rFonts w:ascii="Times New Roman" w:hAnsi="Times New Roman" w:cs="Times New Roman"/>
          <w:sz w:val="24"/>
          <w:szCs w:val="24"/>
          <w:u w:val="single"/>
        </w:rPr>
        <w:t>Significant Violations of Finance-Related Legal and Contractual Provisions</w:t>
      </w:r>
    </w:p>
    <w:p w14:paraId="70C58545" w14:textId="77777777" w:rsidR="008504B7" w:rsidRPr="004B0DA6" w:rsidRDefault="008504B7" w:rsidP="00203597">
      <w:pPr>
        <w:spacing w:after="0"/>
        <w:rPr>
          <w:rFonts w:ascii="Times New Roman" w:hAnsi="Times New Roman" w:cs="Times New Roman"/>
          <w:sz w:val="24"/>
          <w:szCs w:val="24"/>
        </w:rPr>
      </w:pPr>
    </w:p>
    <w:p w14:paraId="63021C16" w14:textId="62FF21EE" w:rsidR="0056179C" w:rsidRPr="004B0DA6" w:rsidRDefault="0056179C" w:rsidP="00203597">
      <w:pPr>
        <w:spacing w:after="0"/>
        <w:rPr>
          <w:rFonts w:ascii="Times New Roman" w:hAnsi="Times New Roman" w:cs="Times New Roman"/>
          <w:sz w:val="24"/>
          <w:szCs w:val="24"/>
        </w:rPr>
      </w:pPr>
      <w:r w:rsidRPr="004B0DA6">
        <w:rPr>
          <w:rFonts w:ascii="Times New Roman" w:hAnsi="Times New Roman" w:cs="Times New Roman"/>
          <w:sz w:val="24"/>
          <w:szCs w:val="24"/>
        </w:rPr>
        <w:t xml:space="preserve">1. </w:t>
      </w:r>
      <w:r w:rsidRPr="004B0DA6">
        <w:rPr>
          <w:rFonts w:ascii="Times New Roman" w:hAnsi="Times New Roman" w:cs="Times New Roman"/>
          <w:sz w:val="24"/>
          <w:szCs w:val="24"/>
          <w:u w:val="single"/>
        </w:rPr>
        <w:t>Noncompliance with North Carolina General Statutes</w:t>
      </w:r>
    </w:p>
    <w:p w14:paraId="3999A781" w14:textId="77777777" w:rsidR="008504B7" w:rsidRPr="004B0DA6" w:rsidRDefault="008504B7" w:rsidP="00203597">
      <w:pPr>
        <w:spacing w:after="0"/>
        <w:jc w:val="both"/>
        <w:rPr>
          <w:rFonts w:ascii="Times New Roman" w:hAnsi="Times New Roman" w:cs="Times New Roman"/>
          <w:sz w:val="24"/>
          <w:szCs w:val="24"/>
        </w:rPr>
      </w:pPr>
    </w:p>
    <w:p w14:paraId="098DB3FF" w14:textId="45A72DED"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City's repurchase agreement is not in accordance with State law [G.S. 159-30(c)(12)].  State law requires that the security be delivered to the </w:t>
      </w:r>
      <w:r w:rsidR="004F7A7D" w:rsidRPr="004B0DA6">
        <w:rPr>
          <w:rFonts w:ascii="Times New Roman" w:hAnsi="Times New Roman" w:cs="Times New Roman"/>
          <w:sz w:val="24"/>
          <w:szCs w:val="24"/>
        </w:rPr>
        <w:t>City</w:t>
      </w:r>
      <w:r w:rsidRPr="004B0DA6">
        <w:rPr>
          <w:rFonts w:ascii="Times New Roman" w:hAnsi="Times New Roman" w:cs="Times New Roman"/>
          <w:sz w:val="24"/>
          <w:szCs w:val="24"/>
        </w:rPr>
        <w:t xml:space="preserve"> or its safekeeping agent other than the provider of the repurchase agreement and that the security must be in the City's name.  The underlying security is held by the financial institution providing the transaction and is not in the City's name. The City will establish a custodial agreement with a separate financial institution that will hold the security in the City’s name. </w:t>
      </w:r>
    </w:p>
    <w:p w14:paraId="7F63D79B" w14:textId="77777777" w:rsidR="008504B7" w:rsidRPr="004B0DA6" w:rsidRDefault="008504B7" w:rsidP="00203597">
      <w:pPr>
        <w:spacing w:after="0"/>
        <w:jc w:val="both"/>
        <w:rPr>
          <w:rFonts w:ascii="Times New Roman" w:hAnsi="Times New Roman" w:cs="Times New Roman"/>
          <w:sz w:val="24"/>
          <w:szCs w:val="24"/>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240"/>
      </w:tblGrid>
      <w:tr w:rsidR="0056179C" w:rsidRPr="004B0DA6" w14:paraId="36333185" w14:textId="77777777" w:rsidTr="008C2772">
        <w:tc>
          <w:tcPr>
            <w:tcW w:w="9576" w:type="dxa"/>
          </w:tcPr>
          <w:p w14:paraId="1C3EF469" w14:textId="5E0E9841"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Other significant instances of noncompliance with the fiscal and budgetary requirements of the General Statutes should be disclosed in this section along with a corrective action plan. Items such as the following should be disclosed - failure to adopt an annual balanced budget for an enterprise fund, a performance bond for the Finance Officer</w:t>
            </w:r>
            <w:r w:rsidR="00AA4293" w:rsidRPr="004B0DA6">
              <w:rPr>
                <w:rFonts w:ascii="Times New Roman" w:hAnsi="Times New Roman" w:cs="Times New Roman"/>
                <w:sz w:val="24"/>
                <w:szCs w:val="24"/>
              </w:rPr>
              <w:t xml:space="preserve"> or other employee that does not meet the revised requirements of</w:t>
            </w:r>
            <w:r w:rsidR="003116D0" w:rsidRPr="004B0DA6">
              <w:rPr>
                <w:rFonts w:ascii="Times New Roman" w:hAnsi="Times New Roman" w:cs="Times New Roman"/>
                <w:sz w:val="24"/>
                <w:szCs w:val="24"/>
              </w:rPr>
              <w:t xml:space="preserve"> NC</w:t>
            </w:r>
            <w:r w:rsidR="00AA4293" w:rsidRPr="004B0DA6">
              <w:rPr>
                <w:rFonts w:ascii="Times New Roman" w:hAnsi="Times New Roman" w:cs="Times New Roman"/>
                <w:sz w:val="24"/>
                <w:szCs w:val="24"/>
              </w:rPr>
              <w:t xml:space="preserve"> </w:t>
            </w:r>
            <w:hyperlink r:id="rId20" w:history="1">
              <w:r w:rsidR="00537DD4" w:rsidRPr="004B0DA6">
                <w:rPr>
                  <w:rFonts w:ascii="Times New Roman" w:hAnsi="Times New Roman" w:cs="Times New Roman"/>
                  <w:color w:val="0000FF"/>
                  <w:sz w:val="24"/>
                  <w:szCs w:val="24"/>
                  <w:u w:val="single"/>
                </w:rPr>
                <w:t>G.S. 159-29</w:t>
              </w:r>
            </w:hyperlink>
            <w:r w:rsidR="00AA4293" w:rsidRPr="004B0DA6">
              <w:rPr>
                <w:rFonts w:ascii="Times New Roman" w:hAnsi="Times New Roman" w:cs="Times New Roman"/>
                <w:sz w:val="24"/>
                <w:szCs w:val="24"/>
              </w:rPr>
              <w:t>, “Fidelity bonds</w:t>
            </w:r>
            <w:r w:rsidRPr="004B0DA6">
              <w:rPr>
                <w:rFonts w:ascii="Times New Roman" w:hAnsi="Times New Roman" w:cs="Times New Roman"/>
                <w:sz w:val="24"/>
                <w:szCs w:val="24"/>
              </w:rPr>
              <w:t>,</w:t>
            </w:r>
            <w:r w:rsidR="00AA4293" w:rsidRPr="004B0DA6">
              <w:rPr>
                <w:rFonts w:ascii="Times New Roman" w:hAnsi="Times New Roman" w:cs="Times New Roman"/>
                <w:sz w:val="24"/>
                <w:szCs w:val="24"/>
              </w:rPr>
              <w:t>”</w:t>
            </w:r>
            <w:r w:rsidRPr="004B0DA6">
              <w:rPr>
                <w:rFonts w:ascii="Times New Roman" w:hAnsi="Times New Roman" w:cs="Times New Roman"/>
                <w:sz w:val="24"/>
                <w:szCs w:val="24"/>
              </w:rPr>
              <w:t xml:space="preserve"> or material instances of budgetary noncompliance in any funds based on the legal level of budgetary control. A corrective action plan should be included for each statutory violation. Immaterial instances of noncompliance can be disclosed in the management letter. </w:t>
            </w:r>
          </w:p>
        </w:tc>
      </w:tr>
    </w:tbl>
    <w:p w14:paraId="64FF78D5" w14:textId="31159E54" w:rsidR="0056179C" w:rsidRPr="004B0DA6" w:rsidRDefault="0056179C" w:rsidP="00203597">
      <w:pPr>
        <w:spacing w:after="0"/>
        <w:rPr>
          <w:rFonts w:ascii="Times New Roman" w:hAnsi="Times New Roman" w:cs="Times New Roman"/>
          <w:sz w:val="24"/>
        </w:rPr>
      </w:pPr>
    </w:p>
    <w:p w14:paraId="107ED69D" w14:textId="345364B9" w:rsidR="0056179C" w:rsidRPr="004B0DA6" w:rsidRDefault="0056179C" w:rsidP="00203597">
      <w:pPr>
        <w:spacing w:after="0"/>
        <w:rPr>
          <w:rFonts w:ascii="Times New Roman" w:hAnsi="Times New Roman" w:cs="Times New Roman"/>
          <w:sz w:val="24"/>
          <w:u w:val="single"/>
        </w:rPr>
      </w:pPr>
      <w:r w:rsidRPr="004B0DA6">
        <w:rPr>
          <w:rFonts w:ascii="Times New Roman" w:hAnsi="Times New Roman" w:cs="Times New Roman"/>
          <w:sz w:val="24"/>
        </w:rPr>
        <w:t xml:space="preserve">2. </w:t>
      </w:r>
      <w:r w:rsidRPr="004B0DA6">
        <w:rPr>
          <w:rFonts w:ascii="Times New Roman" w:hAnsi="Times New Roman" w:cs="Times New Roman"/>
          <w:sz w:val="24"/>
          <w:u w:val="single"/>
        </w:rPr>
        <w:t>Contractual Violations</w:t>
      </w:r>
    </w:p>
    <w:p w14:paraId="7E4BDA28" w14:textId="77777777" w:rsidR="008504B7" w:rsidRPr="004B0DA6" w:rsidRDefault="008504B7" w:rsidP="00203597">
      <w:pPr>
        <w:spacing w:after="0"/>
        <w:rPr>
          <w:rFonts w:ascii="Times New Roman" w:hAnsi="Times New Roman" w:cs="Times New Roman"/>
          <w:sz w:val="24"/>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240"/>
      </w:tblGrid>
      <w:tr w:rsidR="0056179C" w:rsidRPr="004B0DA6" w14:paraId="19822AE0" w14:textId="77777777" w:rsidTr="00F9386B">
        <w:tc>
          <w:tcPr>
            <w:tcW w:w="10656" w:type="dxa"/>
          </w:tcPr>
          <w:p w14:paraId="6CFBF8BC" w14:textId="3E7AF71D"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b/>
                <w:bCs/>
                <w:sz w:val="24"/>
              </w:rPr>
              <w:t>Note to preparer</w:t>
            </w:r>
            <w:r w:rsidRPr="004B0DA6">
              <w:rPr>
                <w:rFonts w:ascii="Times New Roman" w:hAnsi="Times New Roman" w:cs="Times New Roman"/>
                <w:sz w:val="24"/>
              </w:rPr>
              <w:t>: For those governmental units with outstanding revenue bonds, any failures of the unit to comply with reserve levels, coverage ratio requirements, or other terms of the bond documents should be disclosed. Any other material violations of various contractual agreements should also be disclosed.  A corrective action plan should be included for each violation.</w:t>
            </w:r>
          </w:p>
        </w:tc>
      </w:tr>
    </w:tbl>
    <w:p w14:paraId="53D361E7" w14:textId="77777777" w:rsidR="008504B7" w:rsidRPr="004B0DA6" w:rsidRDefault="008504B7" w:rsidP="00203597">
      <w:pPr>
        <w:spacing w:after="0"/>
        <w:rPr>
          <w:rFonts w:ascii="Times New Roman" w:hAnsi="Times New Roman" w:cs="Times New Roman"/>
          <w:sz w:val="24"/>
        </w:rPr>
      </w:pPr>
    </w:p>
    <w:p w14:paraId="3B075240" w14:textId="77777777" w:rsidR="00537DD4" w:rsidRPr="004B0DA6" w:rsidRDefault="00537DD4" w:rsidP="00203597">
      <w:pPr>
        <w:spacing w:after="0"/>
        <w:rPr>
          <w:rFonts w:ascii="Times New Roman" w:hAnsi="Times New Roman" w:cs="Times New Roman"/>
          <w:sz w:val="24"/>
        </w:rPr>
      </w:pPr>
    </w:p>
    <w:p w14:paraId="170FD6A6" w14:textId="70F3D96A" w:rsidR="0056179C" w:rsidRPr="004B0DA6" w:rsidRDefault="0056179C" w:rsidP="00203597">
      <w:pPr>
        <w:spacing w:after="0"/>
        <w:rPr>
          <w:rFonts w:ascii="Times New Roman" w:hAnsi="Times New Roman" w:cs="Times New Roman"/>
          <w:sz w:val="24"/>
          <w:u w:val="single"/>
        </w:rPr>
      </w:pPr>
      <w:r w:rsidRPr="004B0DA6">
        <w:rPr>
          <w:rFonts w:ascii="Times New Roman" w:hAnsi="Times New Roman" w:cs="Times New Roman"/>
          <w:sz w:val="24"/>
        </w:rPr>
        <w:t xml:space="preserve">B. </w:t>
      </w:r>
      <w:r w:rsidRPr="004B0DA6">
        <w:rPr>
          <w:rFonts w:ascii="Times New Roman" w:hAnsi="Times New Roman" w:cs="Times New Roman"/>
          <w:sz w:val="24"/>
          <w:u w:val="single"/>
        </w:rPr>
        <w:t xml:space="preserve">Deficit in Fund Balance of Individual Funds not appropriated in subsequent year’s budget </w:t>
      </w:r>
      <w:r w:rsidR="0078372D" w:rsidRPr="004B0DA6">
        <w:rPr>
          <w:rFonts w:ascii="Times New Roman" w:hAnsi="Times New Roman" w:cs="Times New Roman"/>
          <w:sz w:val="24"/>
          <w:u w:val="single"/>
        </w:rPr>
        <w:t>ordinance.</w:t>
      </w:r>
    </w:p>
    <w:p w14:paraId="7387E436" w14:textId="4E7E05A7" w:rsidR="00144B71" w:rsidRPr="004B0DA6" w:rsidRDefault="00144B71" w:rsidP="00203597">
      <w:pPr>
        <w:spacing w:after="0"/>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56179C" w:rsidRPr="004B0DA6" w14:paraId="0246D4E0" w14:textId="77777777" w:rsidTr="00F9386B">
        <w:tc>
          <w:tcPr>
            <w:tcW w:w="106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55AA5334" w14:textId="77777777" w:rsidR="0056179C" w:rsidRPr="004B0DA6" w:rsidRDefault="0056179C" w:rsidP="00203597">
            <w:pPr>
              <w:spacing w:after="0"/>
              <w:jc w:val="both"/>
              <w:rPr>
                <w:rFonts w:ascii="Times New Roman" w:hAnsi="Times New Roman" w:cs="Times New Roman"/>
                <w:i/>
              </w:rPr>
            </w:pPr>
            <w:r w:rsidRPr="004B0DA6">
              <w:rPr>
                <w:rFonts w:ascii="Times New Roman" w:hAnsi="Times New Roman" w:cs="Times New Roman"/>
                <w:b/>
                <w:bCs/>
                <w:sz w:val="24"/>
              </w:rPr>
              <w:lastRenderedPageBreak/>
              <w:t>Note to preparer</w:t>
            </w:r>
            <w:r w:rsidRPr="004B0DA6">
              <w:rPr>
                <w:rFonts w:ascii="Times New Roman" w:hAnsi="Times New Roman" w:cs="Times New Roman"/>
                <w:sz w:val="24"/>
              </w:rPr>
              <w:t xml:space="preserve">: Any individual funds with a deficit in fund balance should be disclosed along with the Unit’s action to fund the deficit in the subsequent year as required by NC G.S. 159-13(b)(2): </w:t>
            </w:r>
            <w:r w:rsidRPr="004B0DA6">
              <w:rPr>
                <w:rFonts w:ascii="Times New Roman" w:hAnsi="Times New Roman" w:cs="Times New Roman"/>
                <w:i/>
                <w:sz w:val="24"/>
              </w:rPr>
              <w:t>The full amount of any deficit in each fund shall be appropriated.</w:t>
            </w:r>
          </w:p>
        </w:tc>
      </w:tr>
    </w:tbl>
    <w:p w14:paraId="7EB2DDB5" w14:textId="77777777" w:rsidR="0039186E" w:rsidRPr="004B0DA6" w:rsidRDefault="0039186E" w:rsidP="00203597">
      <w:pPr>
        <w:keepNext/>
        <w:spacing w:after="0"/>
        <w:rPr>
          <w:rFonts w:ascii="Times New Roman" w:hAnsi="Times New Roman" w:cs="Times New Roman"/>
          <w:sz w:val="24"/>
        </w:rPr>
      </w:pPr>
    </w:p>
    <w:p w14:paraId="18E7085D" w14:textId="72AD556B" w:rsidR="0056179C" w:rsidRPr="004B0DA6" w:rsidRDefault="0056179C" w:rsidP="00203597">
      <w:pPr>
        <w:keepNext/>
        <w:spacing w:after="0"/>
        <w:rPr>
          <w:rFonts w:ascii="Times New Roman" w:hAnsi="Times New Roman" w:cs="Times New Roman"/>
          <w:sz w:val="24"/>
        </w:rPr>
      </w:pPr>
      <w:r w:rsidRPr="004B0DA6">
        <w:rPr>
          <w:rFonts w:ascii="Times New Roman" w:hAnsi="Times New Roman" w:cs="Times New Roman"/>
          <w:sz w:val="24"/>
        </w:rPr>
        <w:t xml:space="preserve">C. </w:t>
      </w:r>
      <w:r w:rsidRPr="004B0DA6">
        <w:rPr>
          <w:rFonts w:ascii="Times New Roman" w:hAnsi="Times New Roman" w:cs="Times New Roman"/>
          <w:sz w:val="24"/>
          <w:u w:val="single"/>
        </w:rPr>
        <w:t>Excess of Expenditures over Appropriations</w:t>
      </w:r>
    </w:p>
    <w:p w14:paraId="0111FAAF" w14:textId="55E8B59C" w:rsidR="0056179C" w:rsidRPr="004B0DA6" w:rsidRDefault="0056179C" w:rsidP="00203597">
      <w:pPr>
        <w:keepNext/>
        <w:spacing w:after="0"/>
        <w:jc w:val="both"/>
        <w:rPr>
          <w:rFonts w:ascii="Times New Roman" w:hAnsi="Times New Roman" w:cs="Times New Roman"/>
          <w:sz w:val="24"/>
        </w:rPr>
      </w:pPr>
      <w:r w:rsidRPr="004B0DA6">
        <w:rPr>
          <w:rFonts w:ascii="Times New Roman" w:hAnsi="Times New Roman" w:cs="Times New Roman"/>
          <w:sz w:val="24"/>
        </w:rPr>
        <w:t xml:space="preserve">For the fiscal year ended June 30, </w:t>
      </w:r>
      <w:r w:rsidR="00A85B23" w:rsidRPr="004B0DA6">
        <w:rPr>
          <w:rFonts w:ascii="Times New Roman" w:hAnsi="Times New Roman" w:cs="Times New Roman"/>
          <w:sz w:val="24"/>
        </w:rPr>
        <w:t>202</w:t>
      </w:r>
      <w:r w:rsidR="0013633E" w:rsidRPr="004B0DA6">
        <w:rPr>
          <w:rFonts w:ascii="Times New Roman" w:hAnsi="Times New Roman" w:cs="Times New Roman"/>
          <w:sz w:val="24"/>
        </w:rPr>
        <w:t>4</w:t>
      </w:r>
      <w:r w:rsidRPr="004B0DA6">
        <w:rPr>
          <w:rFonts w:ascii="Times New Roman" w:hAnsi="Times New Roman" w:cs="Times New Roman"/>
          <w:sz w:val="24"/>
        </w:rPr>
        <w:t>, the expenditures made in the City's General Fund exceeded the authorized appropriations made by the governing board for general government activities by $</w:t>
      </w:r>
      <w:r w:rsidR="00AC539F" w:rsidRPr="004B0DA6">
        <w:rPr>
          <w:rFonts w:ascii="Times New Roman" w:hAnsi="Times New Roman" w:cs="Times New Roman"/>
          <w:sz w:val="24"/>
        </w:rPr>
        <w:t>3</w:t>
      </w:r>
      <w:r w:rsidRPr="004B0DA6">
        <w:rPr>
          <w:rFonts w:ascii="Times New Roman" w:hAnsi="Times New Roman" w:cs="Times New Roman"/>
          <w:sz w:val="24"/>
        </w:rPr>
        <w:t>,</w:t>
      </w:r>
      <w:r w:rsidR="00AC539F" w:rsidRPr="004B0DA6">
        <w:rPr>
          <w:rFonts w:ascii="Times New Roman" w:hAnsi="Times New Roman" w:cs="Times New Roman"/>
          <w:sz w:val="24"/>
        </w:rPr>
        <w:t>846</w:t>
      </w:r>
      <w:r w:rsidRPr="004B0DA6">
        <w:rPr>
          <w:rFonts w:ascii="Times New Roman" w:hAnsi="Times New Roman" w:cs="Times New Roman"/>
          <w:sz w:val="24"/>
        </w:rPr>
        <w:t xml:space="preserve">.  This over-expenditure occurred because of unplanned payroll expenditures for temporary help needed due to staff illnesses in the administration department. Management and the Board will more closely review the budget reports to ensure compliance in future years. </w:t>
      </w:r>
    </w:p>
    <w:p w14:paraId="4425197A" w14:textId="77777777" w:rsidR="008504B7" w:rsidRPr="004B0DA6" w:rsidRDefault="008504B7" w:rsidP="00203597">
      <w:pPr>
        <w:keepNext/>
        <w:spacing w:after="0"/>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56179C" w:rsidRPr="004B0DA6" w14:paraId="62D39E9A" w14:textId="77777777" w:rsidTr="00F9386B">
        <w:tc>
          <w:tcPr>
            <w:tcW w:w="106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29CAC426" w14:textId="2DE95190" w:rsidR="0056179C" w:rsidRPr="004B0DA6" w:rsidRDefault="0056179C" w:rsidP="00203597">
            <w:pPr>
              <w:spacing w:after="0"/>
              <w:jc w:val="both"/>
              <w:rPr>
                <w:rFonts w:ascii="Times New Roman" w:hAnsi="Times New Roman" w:cs="Times New Roman"/>
              </w:rPr>
            </w:pPr>
            <w:r w:rsidRPr="004B0DA6">
              <w:rPr>
                <w:rFonts w:ascii="Times New Roman" w:hAnsi="Times New Roman" w:cs="Times New Roman"/>
                <w:b/>
                <w:bCs/>
                <w:sz w:val="24"/>
              </w:rPr>
              <w:t>Note to preparer</w:t>
            </w:r>
            <w:r w:rsidRPr="004B0DA6">
              <w:rPr>
                <w:rFonts w:ascii="Times New Roman" w:hAnsi="Times New Roman" w:cs="Times New Roman"/>
                <w:sz w:val="24"/>
              </w:rPr>
              <w:t>: All excess expenditure</w:t>
            </w:r>
            <w:r w:rsidR="00BC0E2B" w:rsidRPr="004B0DA6">
              <w:rPr>
                <w:rFonts w:ascii="Times New Roman" w:hAnsi="Times New Roman" w:cs="Times New Roman"/>
                <w:sz w:val="24"/>
              </w:rPr>
              <w:t>s</w:t>
            </w:r>
            <w:r w:rsidRPr="004B0DA6">
              <w:rPr>
                <w:rFonts w:ascii="Times New Roman" w:hAnsi="Times New Roman" w:cs="Times New Roman"/>
                <w:sz w:val="24"/>
              </w:rPr>
              <w:t xml:space="preserve"> over appropriations should be disclosed.  For material variances, include a corrective action plan.</w:t>
            </w:r>
          </w:p>
        </w:tc>
      </w:tr>
    </w:tbl>
    <w:p w14:paraId="021AA8D5" w14:textId="6E3BA217" w:rsidR="00447731" w:rsidRPr="004B0DA6" w:rsidRDefault="00447731" w:rsidP="00203597">
      <w:pPr>
        <w:spacing w:after="0"/>
        <w:ind w:left="1440"/>
        <w:jc w:val="both"/>
        <w:rPr>
          <w:rFonts w:ascii="Times New Roman" w:hAnsi="Times New Roman" w:cs="Times New Roman"/>
          <w:sz w:val="24"/>
        </w:rPr>
      </w:pPr>
    </w:p>
    <w:p w14:paraId="46C171C0" w14:textId="2FB56479" w:rsidR="0056179C" w:rsidRPr="004B0DA6" w:rsidRDefault="0056179C" w:rsidP="00203597">
      <w:pPr>
        <w:spacing w:after="0"/>
        <w:jc w:val="both"/>
        <w:rPr>
          <w:rFonts w:ascii="Times New Roman" w:hAnsi="Times New Roman" w:cs="Times New Roman"/>
          <w:b/>
          <w:bCs/>
          <w:sz w:val="24"/>
          <w:szCs w:val="24"/>
        </w:rPr>
      </w:pPr>
      <w:r w:rsidRPr="004B0DA6">
        <w:rPr>
          <w:rFonts w:ascii="Times New Roman" w:hAnsi="Times New Roman" w:cs="Times New Roman"/>
          <w:b/>
          <w:bCs/>
          <w:sz w:val="24"/>
          <w:szCs w:val="24"/>
        </w:rPr>
        <w:t xml:space="preserve">III. </w:t>
      </w:r>
      <w:r w:rsidRPr="004B0DA6">
        <w:rPr>
          <w:rFonts w:ascii="Times New Roman" w:hAnsi="Times New Roman" w:cs="Times New Roman"/>
          <w:b/>
          <w:bCs/>
          <w:sz w:val="24"/>
          <w:szCs w:val="24"/>
          <w:u w:val="single"/>
        </w:rPr>
        <w:t>Detail Notes on All Funds</w:t>
      </w:r>
    </w:p>
    <w:p w14:paraId="22375838" w14:textId="77777777" w:rsidR="008504B7" w:rsidRPr="004B0DA6" w:rsidRDefault="008504B7" w:rsidP="00203597">
      <w:pPr>
        <w:spacing w:after="0"/>
        <w:jc w:val="both"/>
        <w:rPr>
          <w:rFonts w:ascii="Times New Roman" w:hAnsi="Times New Roman" w:cs="Times New Roman"/>
          <w:sz w:val="24"/>
          <w:szCs w:val="24"/>
        </w:rPr>
      </w:pPr>
    </w:p>
    <w:p w14:paraId="5444CD5D" w14:textId="5E4F45D8"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A. </w:t>
      </w:r>
      <w:r w:rsidRPr="004B0DA6">
        <w:rPr>
          <w:rFonts w:ascii="Times New Roman" w:hAnsi="Times New Roman" w:cs="Times New Roman"/>
          <w:sz w:val="24"/>
          <w:szCs w:val="24"/>
          <w:u w:val="single"/>
        </w:rPr>
        <w:t>Assets</w:t>
      </w:r>
    </w:p>
    <w:p w14:paraId="7A09BF24" w14:textId="77777777" w:rsidR="008504B7" w:rsidRPr="004B0DA6" w:rsidRDefault="008504B7" w:rsidP="00203597">
      <w:pPr>
        <w:spacing w:after="0"/>
        <w:jc w:val="both"/>
        <w:rPr>
          <w:rFonts w:ascii="Times New Roman" w:hAnsi="Times New Roman" w:cs="Times New Roman"/>
          <w:sz w:val="24"/>
          <w:szCs w:val="24"/>
        </w:rPr>
      </w:pPr>
    </w:p>
    <w:p w14:paraId="56336460" w14:textId="404033A3"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1. </w:t>
      </w:r>
      <w:r w:rsidRPr="004B0DA6">
        <w:rPr>
          <w:rFonts w:ascii="Times New Roman" w:hAnsi="Times New Roman" w:cs="Times New Roman"/>
          <w:sz w:val="24"/>
          <w:szCs w:val="24"/>
          <w:u w:val="single"/>
        </w:rPr>
        <w:t>Deposits</w:t>
      </w:r>
    </w:p>
    <w:p w14:paraId="2E5D5BB3" w14:textId="77777777" w:rsidR="008504B7" w:rsidRPr="004B0DA6" w:rsidRDefault="008504B7" w:rsidP="00203597">
      <w:pPr>
        <w:pStyle w:val="BodyTextIndent"/>
        <w:tabs>
          <w:tab w:val="left" w:pos="2430"/>
        </w:tabs>
        <w:spacing w:after="0" w:line="240" w:lineRule="auto"/>
        <w:ind w:left="0"/>
        <w:jc w:val="both"/>
        <w:rPr>
          <w:rFonts w:ascii="Times New Roman" w:hAnsi="Times New Roman" w:cs="Times New Roman"/>
          <w:sz w:val="24"/>
          <w:szCs w:val="24"/>
        </w:rPr>
      </w:pPr>
    </w:p>
    <w:p w14:paraId="3908DAD4" w14:textId="62F6BA7E" w:rsidR="0056179C" w:rsidRPr="004B0DA6" w:rsidRDefault="0056179C" w:rsidP="00203597">
      <w:pPr>
        <w:pStyle w:val="BodyTextIndent"/>
        <w:tabs>
          <w:tab w:val="left" w:pos="2430"/>
        </w:tabs>
        <w:spacing w:after="0"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rPr>
        <w:t xml:space="preserve">All the deposits of the City and the ABC Board are either insured or collateralized by using one of two methods.  Under the Dedicated Method, all deposits that exceed the federal depository insurance coverage level are collateralized with securities held by the City's or the ABC Board’s agents in these units' names.  Under the Pooling Method, which is a collateral pool, all uninsured deposits are collateralized with securities held by the State Treasurer's agent in the name of the State Treasurer.  Since the State Treasurer is acting in a fiduciary capacity for the City and the ABC Board, these deposits </w:t>
      </w:r>
      <w:proofErr w:type="gramStart"/>
      <w:r w:rsidRPr="004B0DA6">
        <w:rPr>
          <w:rFonts w:ascii="Times New Roman" w:hAnsi="Times New Roman" w:cs="Times New Roman"/>
          <w:sz w:val="24"/>
          <w:szCs w:val="24"/>
        </w:rPr>
        <w:t>are considered to be</w:t>
      </w:r>
      <w:proofErr w:type="gramEnd"/>
      <w:r w:rsidRPr="004B0DA6">
        <w:rPr>
          <w:rFonts w:ascii="Times New Roman" w:hAnsi="Times New Roman" w:cs="Times New Roman"/>
          <w:sz w:val="24"/>
          <w:szCs w:val="24"/>
        </w:rPr>
        <w:t xml:space="preserve"> held by the City's and the ABC Board’s agents in the entities’ names.  The amount of the pledged collateral is based on an approved averaging method for non-interest-bearing deposits and the actual current balance for interest-bearing deposits.  Depositories using the Pooling Method report to the State Treasurer the adequacy of their pooled collateral covering uninsured deposits.  The State Treasurer does not confirm this information with the City, the ABC Board, or the escrow agent.  Because of the inability to measure the exact amounts of collateral pledged for the City and the ABC Board under the Pooling Method, the potential exists for under-collateralization.  This risk may increase in periods of high cash flows.  However, the State Treasurer of North Carolina enforces strict standards of financial stability for each depository that collateralizes public deposits under the Pooling Method. The City has no formal policy regarding custodial credit risk for deposits but relies on the State Treasurer to enforce standards of minimum capitalization for all pooling method financial institutions and to monitor them for compliance.  The City complies with the provisions of G.S. 159-31 when designating official depositories and verifying that deposits are properly secured.  The ABC Board has no formal policy regarding custodial credit risk for deposits.</w:t>
      </w:r>
    </w:p>
    <w:p w14:paraId="63144DC9" w14:textId="77777777" w:rsidR="008504B7" w:rsidRPr="004B0DA6" w:rsidRDefault="008504B7" w:rsidP="00203597">
      <w:pPr>
        <w:spacing w:after="0"/>
        <w:jc w:val="both"/>
        <w:rPr>
          <w:rFonts w:ascii="Times New Roman" w:hAnsi="Times New Roman" w:cs="Times New Roman"/>
          <w:sz w:val="24"/>
          <w:szCs w:val="24"/>
        </w:rPr>
      </w:pPr>
    </w:p>
    <w:p w14:paraId="23BFBE46" w14:textId="284773B5"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lastRenderedPageBreak/>
        <w:t xml:space="preserve">At June 30, </w:t>
      </w:r>
      <w:r w:rsidR="00A85B23" w:rsidRPr="004B0DA6">
        <w:rPr>
          <w:rFonts w:ascii="Times New Roman" w:hAnsi="Times New Roman" w:cs="Times New Roman"/>
          <w:sz w:val="24"/>
          <w:szCs w:val="24"/>
        </w:rPr>
        <w:t>202</w:t>
      </w:r>
      <w:r w:rsidR="00537DD4" w:rsidRPr="004B0DA6">
        <w:rPr>
          <w:rFonts w:ascii="Times New Roman" w:hAnsi="Times New Roman" w:cs="Times New Roman"/>
          <w:sz w:val="24"/>
          <w:szCs w:val="24"/>
        </w:rPr>
        <w:t>4</w:t>
      </w:r>
      <w:r w:rsidRPr="004B0DA6">
        <w:rPr>
          <w:rFonts w:ascii="Times New Roman" w:hAnsi="Times New Roman" w:cs="Times New Roman"/>
          <w:sz w:val="24"/>
          <w:szCs w:val="24"/>
        </w:rPr>
        <w:t>, the City's deposits had a carrying amount of $</w:t>
      </w:r>
      <w:r w:rsidR="00DE29A8" w:rsidRPr="004B0DA6">
        <w:rPr>
          <w:rFonts w:ascii="Times New Roman" w:hAnsi="Times New Roman" w:cs="Times New Roman"/>
          <w:sz w:val="24"/>
          <w:szCs w:val="24"/>
        </w:rPr>
        <w:t>431</w:t>
      </w:r>
      <w:r w:rsidRPr="004B0DA6">
        <w:rPr>
          <w:rFonts w:ascii="Times New Roman" w:hAnsi="Times New Roman" w:cs="Times New Roman"/>
          <w:sz w:val="24"/>
          <w:szCs w:val="24"/>
        </w:rPr>
        <w:t>,</w:t>
      </w:r>
      <w:r w:rsidR="00DE29A8" w:rsidRPr="004B0DA6">
        <w:rPr>
          <w:rFonts w:ascii="Times New Roman" w:hAnsi="Times New Roman" w:cs="Times New Roman"/>
          <w:sz w:val="24"/>
          <w:szCs w:val="24"/>
        </w:rPr>
        <w:t>69</w:t>
      </w:r>
      <w:r w:rsidR="00F570DC" w:rsidRPr="004B0DA6">
        <w:rPr>
          <w:rFonts w:ascii="Times New Roman" w:hAnsi="Times New Roman" w:cs="Times New Roman"/>
          <w:sz w:val="24"/>
          <w:szCs w:val="24"/>
        </w:rPr>
        <w:t>7</w:t>
      </w:r>
      <w:r w:rsidRPr="004B0DA6">
        <w:rPr>
          <w:rFonts w:ascii="Times New Roman" w:hAnsi="Times New Roman" w:cs="Times New Roman"/>
          <w:sz w:val="24"/>
          <w:szCs w:val="24"/>
        </w:rPr>
        <w:t xml:space="preserve"> and a bank balance of $</w:t>
      </w:r>
      <w:r w:rsidR="00DE29A8" w:rsidRPr="004B0DA6">
        <w:rPr>
          <w:rFonts w:ascii="Times New Roman" w:hAnsi="Times New Roman" w:cs="Times New Roman"/>
          <w:sz w:val="24"/>
          <w:szCs w:val="24"/>
        </w:rPr>
        <w:t>4</w:t>
      </w:r>
      <w:r w:rsidR="00F570DC" w:rsidRPr="004B0DA6">
        <w:rPr>
          <w:rFonts w:ascii="Times New Roman" w:hAnsi="Times New Roman" w:cs="Times New Roman"/>
          <w:sz w:val="24"/>
          <w:szCs w:val="24"/>
        </w:rPr>
        <w:t>54</w:t>
      </w:r>
      <w:r w:rsidRPr="004B0DA6">
        <w:rPr>
          <w:rFonts w:ascii="Times New Roman" w:hAnsi="Times New Roman" w:cs="Times New Roman"/>
          <w:sz w:val="24"/>
          <w:szCs w:val="24"/>
        </w:rPr>
        <w:t xml:space="preserve">,673. Of the bank balance, $250,000 was covered by federal depository insurance and the remainder was covered by collateral held under the pooling method. The carrying </w:t>
      </w:r>
      <w:proofErr w:type="gramStart"/>
      <w:r w:rsidRPr="004B0DA6">
        <w:rPr>
          <w:rFonts w:ascii="Times New Roman" w:hAnsi="Times New Roman" w:cs="Times New Roman"/>
          <w:sz w:val="24"/>
          <w:szCs w:val="24"/>
        </w:rPr>
        <w:t>amount</w:t>
      </w:r>
      <w:proofErr w:type="gramEnd"/>
      <w:r w:rsidRPr="004B0DA6">
        <w:rPr>
          <w:rFonts w:ascii="Times New Roman" w:hAnsi="Times New Roman" w:cs="Times New Roman"/>
          <w:sz w:val="24"/>
          <w:szCs w:val="24"/>
        </w:rPr>
        <w:t xml:space="preserve"> of deposits for the ABC Board was $</w:t>
      </w:r>
      <w:r w:rsidR="00DE162F" w:rsidRPr="004B0DA6">
        <w:rPr>
          <w:rFonts w:ascii="Times New Roman" w:hAnsi="Times New Roman" w:cs="Times New Roman"/>
          <w:sz w:val="24"/>
          <w:szCs w:val="24"/>
        </w:rPr>
        <w:t>77</w:t>
      </w:r>
      <w:r w:rsidRPr="004B0DA6">
        <w:rPr>
          <w:rFonts w:ascii="Times New Roman" w:hAnsi="Times New Roman" w:cs="Times New Roman"/>
          <w:sz w:val="24"/>
          <w:szCs w:val="24"/>
        </w:rPr>
        <w:t>,</w:t>
      </w:r>
      <w:r w:rsidR="00DE162F" w:rsidRPr="004B0DA6">
        <w:rPr>
          <w:rFonts w:ascii="Times New Roman" w:hAnsi="Times New Roman" w:cs="Times New Roman"/>
          <w:sz w:val="24"/>
          <w:szCs w:val="24"/>
        </w:rPr>
        <w:t>038</w:t>
      </w:r>
      <w:r w:rsidRPr="004B0DA6">
        <w:rPr>
          <w:rFonts w:ascii="Times New Roman" w:hAnsi="Times New Roman" w:cs="Times New Roman"/>
          <w:sz w:val="24"/>
          <w:szCs w:val="24"/>
        </w:rPr>
        <w:t xml:space="preserve"> and the bank balance was $50,000.  </w:t>
      </w:r>
      <w:proofErr w:type="gramStart"/>
      <w:r w:rsidRPr="004B0DA6">
        <w:rPr>
          <w:rFonts w:ascii="Times New Roman" w:hAnsi="Times New Roman" w:cs="Times New Roman"/>
          <w:sz w:val="24"/>
          <w:szCs w:val="24"/>
        </w:rPr>
        <w:t>All of</w:t>
      </w:r>
      <w:proofErr w:type="gramEnd"/>
      <w:r w:rsidRPr="004B0DA6">
        <w:rPr>
          <w:rFonts w:ascii="Times New Roman" w:hAnsi="Times New Roman" w:cs="Times New Roman"/>
          <w:sz w:val="24"/>
          <w:szCs w:val="24"/>
        </w:rPr>
        <w:t xml:space="preserve"> the bank balance was covered by federal depository insurance.  At June 30, 202</w:t>
      </w:r>
      <w:r w:rsidR="00537DD4" w:rsidRPr="004B0DA6">
        <w:rPr>
          <w:rFonts w:ascii="Times New Roman" w:hAnsi="Times New Roman" w:cs="Times New Roman"/>
          <w:sz w:val="24"/>
          <w:szCs w:val="24"/>
        </w:rPr>
        <w:t>4</w:t>
      </w:r>
      <w:r w:rsidRPr="004B0DA6">
        <w:rPr>
          <w:rFonts w:ascii="Times New Roman" w:hAnsi="Times New Roman" w:cs="Times New Roman"/>
          <w:sz w:val="24"/>
          <w:szCs w:val="24"/>
        </w:rPr>
        <w:t>, the City’s petty cash fund totaled $1,600.</w:t>
      </w:r>
    </w:p>
    <w:p w14:paraId="0DF3534E" w14:textId="77777777"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  </w:t>
      </w:r>
    </w:p>
    <w:tbl>
      <w:tblPr>
        <w:tblpPr w:leftFromText="180" w:rightFromText="180" w:vertAnchor="text" w:horzAnchor="margin" w:tblpY="81"/>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1"/>
      </w:tblGrid>
      <w:tr w:rsidR="0056179C" w:rsidRPr="004B0DA6" w14:paraId="22054AFB" w14:textId="77777777" w:rsidTr="00F9386B">
        <w:trPr>
          <w:trHeight w:val="2580"/>
        </w:trPr>
        <w:tc>
          <w:tcPr>
            <w:tcW w:w="9091"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1AAAB598" w14:textId="77777777"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xml:space="preserve">:  The unit should disclose if their Board has adopted a formal policy for any of the different deposit and investments risks it encounters.  In addition, the unit may include whether its management follows any internal practices to avoid applicable risks.  Please see Memorandum #1056 for additional information.  See </w:t>
            </w:r>
            <w:r w:rsidRPr="004B0DA6">
              <w:rPr>
                <w:rFonts w:ascii="Times New Roman" w:hAnsi="Times New Roman" w:cs="Times New Roman"/>
                <w:i/>
                <w:sz w:val="24"/>
                <w:szCs w:val="24"/>
              </w:rPr>
              <w:t>Note III.A.1</w:t>
            </w:r>
            <w:r w:rsidRPr="004B0DA6">
              <w:rPr>
                <w:rFonts w:ascii="Times New Roman" w:hAnsi="Times New Roman" w:cs="Times New Roman"/>
                <w:sz w:val="24"/>
                <w:szCs w:val="24"/>
              </w:rPr>
              <w:t xml:space="preserve"> of Carolina County for an example for a formal policy and </w:t>
            </w:r>
            <w:r w:rsidRPr="004B0DA6">
              <w:rPr>
                <w:rFonts w:ascii="Times New Roman" w:hAnsi="Times New Roman" w:cs="Times New Roman"/>
                <w:i/>
                <w:sz w:val="24"/>
                <w:szCs w:val="24"/>
              </w:rPr>
              <w:t>Note III.A.1</w:t>
            </w:r>
            <w:r w:rsidRPr="004B0DA6">
              <w:rPr>
                <w:rFonts w:ascii="Times New Roman" w:hAnsi="Times New Roman" w:cs="Times New Roman"/>
                <w:sz w:val="24"/>
                <w:szCs w:val="24"/>
              </w:rPr>
              <w:t xml:space="preserve"> of Carolina County Board of Education for an example when the Board has not formally adopted a policy, nor does management have an internal policy. Please note in the above Deposit note, the City of Dogwood is presented as only using pooling method banks.  If your government uses dedicated method banks, then additional information may need to be added.</w:t>
            </w:r>
          </w:p>
        </w:tc>
      </w:tr>
    </w:tbl>
    <w:p w14:paraId="490A484B" w14:textId="0DFCE578" w:rsidR="0056179C" w:rsidRPr="004B0DA6" w:rsidRDefault="0056179C" w:rsidP="00E353F9">
      <w:pPr>
        <w:tabs>
          <w:tab w:val="left" w:pos="540"/>
        </w:tabs>
        <w:spacing w:before="120" w:after="120"/>
        <w:rPr>
          <w:rFonts w:ascii="Times New Roman" w:hAnsi="Times New Roman" w:cs="Times New Roman"/>
          <w:sz w:val="24"/>
          <w:u w:val="single"/>
        </w:rPr>
      </w:pPr>
      <w:r w:rsidRPr="004B0DA6">
        <w:rPr>
          <w:rFonts w:ascii="Times New Roman" w:hAnsi="Times New Roman" w:cs="Times New Roman"/>
          <w:sz w:val="24"/>
        </w:rPr>
        <w:t xml:space="preserve">2. </w:t>
      </w:r>
      <w:r w:rsidRPr="004B0DA6">
        <w:rPr>
          <w:rFonts w:ascii="Times New Roman" w:hAnsi="Times New Roman" w:cs="Times New Roman"/>
          <w:sz w:val="24"/>
          <w:u w:val="single"/>
        </w:rPr>
        <w:t xml:space="preserve">Investments </w:t>
      </w:r>
    </w:p>
    <w:p w14:paraId="2A8441B6" w14:textId="3F67A802" w:rsidR="0056179C" w:rsidRPr="004B0DA6" w:rsidRDefault="001F4EC6" w:rsidP="00203597">
      <w:pPr>
        <w:spacing w:after="0"/>
        <w:rPr>
          <w:rFonts w:ascii="Times New Roman" w:hAnsi="Times New Roman" w:cs="Times New Roman"/>
          <w:sz w:val="24"/>
        </w:rPr>
      </w:pPr>
      <w:r w:rsidRPr="004B0DA6">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3A8107D2" wp14:editId="4B5CBA66">
                <wp:simplePos x="0" y="0"/>
                <wp:positionH relativeFrom="margin">
                  <wp:posOffset>25400</wp:posOffset>
                </wp:positionH>
                <wp:positionV relativeFrom="paragraph">
                  <wp:posOffset>24130</wp:posOffset>
                </wp:positionV>
                <wp:extent cx="5886450" cy="1281430"/>
                <wp:effectExtent l="19050" t="19050" r="19050" b="13970"/>
                <wp:wrapNone/>
                <wp:docPr id="1862862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281430"/>
                        </a:xfrm>
                        <a:prstGeom prst="rect">
                          <a:avLst/>
                        </a:prstGeom>
                        <a:solidFill>
                          <a:srgbClr val="FFFFFF"/>
                        </a:solidFill>
                        <a:ln w="57150" cmpd="thinThick">
                          <a:solidFill>
                            <a:srgbClr val="000000"/>
                          </a:solidFill>
                          <a:miter lim="800000"/>
                          <a:headEnd/>
                          <a:tailEnd/>
                        </a:ln>
                      </wps:spPr>
                      <wps:txbx>
                        <w:txbxContent>
                          <w:p w14:paraId="468FC7E2" w14:textId="333EC38A" w:rsidR="00D14921" w:rsidRDefault="00D14921" w:rsidP="0056179C">
                            <w:pPr>
                              <w:jc w:val="both"/>
                              <w:rPr>
                                <w:rFonts w:ascii="Times New Roman" w:hAnsi="Times New Roman" w:cs="Times New Roman"/>
                                <w:sz w:val="24"/>
                                <w:szCs w:val="24"/>
                              </w:rPr>
                            </w:pPr>
                            <w:r w:rsidRPr="006F18E5">
                              <w:rPr>
                                <w:rFonts w:ascii="Times New Roman" w:hAnsi="Times New Roman" w:cs="Times New Roman"/>
                                <w:b/>
                                <w:sz w:val="24"/>
                                <w:szCs w:val="24"/>
                              </w:rPr>
                              <w:t>Note to preparer:</w:t>
                            </w:r>
                            <w:r w:rsidRPr="006F18E5">
                              <w:rPr>
                                <w:rFonts w:ascii="Times New Roman" w:hAnsi="Times New Roman" w:cs="Times New Roman"/>
                                <w:sz w:val="24"/>
                                <w:szCs w:val="24"/>
                              </w:rPr>
                              <w:t xml:space="preserve"> For units whose only investments are with the North Carolina Capital Management Trust Government Portfolio, the following statement is all that is required for GASB 40 disclosure: “At June 30, </w:t>
                            </w:r>
                            <w:r w:rsidR="00A85B23" w:rsidRPr="00CE78D5">
                              <w:rPr>
                                <w:rFonts w:ascii="Times New Roman" w:hAnsi="Times New Roman" w:cs="Times New Roman"/>
                                <w:sz w:val="24"/>
                                <w:szCs w:val="24"/>
                              </w:rPr>
                              <w:t>202</w:t>
                            </w:r>
                            <w:r w:rsidR="00537DD4" w:rsidRPr="00CE78D5">
                              <w:rPr>
                                <w:rFonts w:ascii="Times New Roman" w:hAnsi="Times New Roman" w:cs="Times New Roman"/>
                                <w:sz w:val="24"/>
                                <w:szCs w:val="24"/>
                              </w:rPr>
                              <w:t>4</w:t>
                            </w:r>
                            <w:r w:rsidRPr="006F18E5">
                              <w:rPr>
                                <w:rFonts w:ascii="Times New Roman" w:hAnsi="Times New Roman" w:cs="Times New Roman"/>
                                <w:sz w:val="24"/>
                                <w:szCs w:val="24"/>
                              </w:rPr>
                              <w:t>, the City of Dogwood had $556,592 invested with the North Carolina Capital Management Trust’s Government Portfolio which carried a credit rating of AAA</w:t>
                            </w:r>
                            <w:r w:rsidR="00910EB5">
                              <w:rPr>
                                <w:rFonts w:ascii="Times New Roman" w:hAnsi="Times New Roman" w:cs="Times New Roman"/>
                                <w:sz w:val="24"/>
                                <w:szCs w:val="24"/>
                              </w:rPr>
                              <w:t>m</w:t>
                            </w:r>
                            <w:r w:rsidRPr="006F18E5">
                              <w:rPr>
                                <w:rFonts w:ascii="Times New Roman" w:hAnsi="Times New Roman" w:cs="Times New Roman"/>
                                <w:sz w:val="24"/>
                                <w:szCs w:val="24"/>
                              </w:rPr>
                              <w:t xml:space="preserve"> by Standard and Poor’s</w:t>
                            </w:r>
                            <w:r w:rsidR="00F26DAF">
                              <w:rPr>
                                <w:rFonts w:ascii="Times New Roman" w:hAnsi="Times New Roman" w:cs="Times New Roman"/>
                                <w:sz w:val="24"/>
                                <w:szCs w:val="24"/>
                              </w:rPr>
                              <w:t xml:space="preserve"> (S&amp;P)</w:t>
                            </w:r>
                            <w:r w:rsidRPr="006F18E5">
                              <w:rPr>
                                <w:rFonts w:ascii="Times New Roman" w:hAnsi="Times New Roman" w:cs="Times New Roman"/>
                                <w:sz w:val="24"/>
                                <w:szCs w:val="24"/>
                              </w:rPr>
                              <w:t xml:space="preserve">. The City has no policy regarding credit risk.”  </w:t>
                            </w:r>
                          </w:p>
                          <w:p w14:paraId="2EE49BD0" w14:textId="77777777" w:rsidR="00261EF8" w:rsidRPr="006F18E5" w:rsidRDefault="00261EF8" w:rsidP="0056179C">
                            <w:pPr>
                              <w:jc w:val="both"/>
                              <w:rPr>
                                <w:rFonts w:ascii="Times New Roman" w:hAnsi="Times New Roman" w:cs="Times New Roman"/>
                                <w:sz w:val="24"/>
                                <w:szCs w:val="24"/>
                              </w:rPr>
                            </w:pPr>
                          </w:p>
                          <w:p w14:paraId="14F412AE" w14:textId="77777777" w:rsidR="00D14921" w:rsidRPr="002F701B" w:rsidRDefault="00D14921" w:rsidP="005617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107D2" id="_x0000_t202" coordsize="21600,21600" o:spt="202" path="m,l,21600r21600,l21600,xe">
                <v:stroke joinstyle="miter"/>
                <v:path gradientshapeok="t" o:connecttype="rect"/>
              </v:shapetype>
              <v:shape id="Text Box 5" o:spid="_x0000_s1026" type="#_x0000_t202" style="position:absolute;margin-left:2pt;margin-top:1.9pt;width:463.5pt;height:100.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thIgIAAD4EAAAOAAAAZHJzL2Uyb0RvYy54bWysU9tu2zAMfR+wfxD0vjjOkjYz4hRdugwD&#10;ugvQ7gNkWY6FyqJGKbG7rx8lp2nQbS/D9CCIInVEHh6urobOsINCr8GWPJ9MOVNWQq3truTf77dv&#10;lpz5IGwtDFhV8kfl+dX69atV7wo1gxZMrZARiPVF70rehuCKLPOyVZ3wE3DKkrMB7EQgE3dZjaIn&#10;9M5ks+n0IusBa4cglfd0ezM6+TrhN42S4WvTeBWYKTnlFtKOaa/inq1XotihcK2WxzTEP2TRCW3p&#10;0xPUjQiC7VH/BtVpieChCRMJXQZNo6VKNVA1+fRFNXetcCrVQuR4d6LJ/z9Y+eVw574hC8N7GKiB&#10;qQjvbkE+eGZh0wq7U9eI0LdK1PRxHinLeueL49NItS98BKn6z1BTk8U+QAIaGuwiK1QnI3RqwOOJ&#10;dDUEJulysVxezBfkkuTLZ8t8/ja1JRPF03OHPnxU0LF4KDlSVxO8ONz6ENMRxVNI/M2D0fVWG5MM&#10;3FUbg+wgSAHbtFIFL8KMZT3lcpmnTDpXlzy02t6TLB5GTv4KOk3rT6CdDiRuo7uSL09BoohMfrB1&#10;kl4Q2oxnKsLYI7WRzZHXMFQDBUaKK6gfiWSEUcQ0dHRoAX9y1pOAS+5/7AUqzswnS416l8/nUfHJ&#10;mC8uZ2Tguac69wgrCYqK5mw8bsI4JXuHetfST6M0LFxTcxudaH/O6pg3iTR14zhQcQrO7RT1PPbr&#10;XwAAAP//AwBQSwMEFAAGAAgAAAAhALs3OuzaAAAABwEAAA8AAABkcnMvZG93bnJldi54bWxMj81O&#10;wzAQhO9IvIO1lbhRp79q02yqCgmOSLQ9cHTiJY4ar6PYbcPbs5zgOJrRzDfFfvSdutEQ28AIs2kG&#10;irgOtuUG4Xx6fd6AismwNV1gQvimCPvy8aEwuQ13/qDbMTVKSjjmBsGl1Odax9qRN3EaemLxvsLg&#10;TRI5NNoO5i7lvtPzLFtrb1qWBWd6enFUX45Xj3A51Cda6bTZuvZ9WX2+RR7biPg0GQ87UInG9BeG&#10;X3xBh1KYqnBlG1WHsJQnCWEh/OJuFzPRFcI8W61Bl4X+z1/+AAAA//8DAFBLAQItABQABgAIAAAA&#10;IQC2gziS/gAAAOEBAAATAAAAAAAAAAAAAAAAAAAAAABbQ29udGVudF9UeXBlc10ueG1sUEsBAi0A&#10;FAAGAAgAAAAhADj9If/WAAAAlAEAAAsAAAAAAAAAAAAAAAAALwEAAF9yZWxzLy5yZWxzUEsBAi0A&#10;FAAGAAgAAAAhAAKvS2EiAgAAPgQAAA4AAAAAAAAAAAAAAAAALgIAAGRycy9lMm9Eb2MueG1sUEsB&#10;Ai0AFAAGAAgAAAAhALs3OuzaAAAABwEAAA8AAAAAAAAAAAAAAAAAfAQAAGRycy9kb3ducmV2Lnht&#10;bFBLBQYAAAAABAAEAPMAAACDBQAAAAA=&#10;" strokeweight="4.5pt">
                <v:stroke linestyle="thinThick"/>
                <v:textbox>
                  <w:txbxContent>
                    <w:p w14:paraId="468FC7E2" w14:textId="333EC38A" w:rsidR="00D14921" w:rsidRDefault="00D14921" w:rsidP="0056179C">
                      <w:pPr>
                        <w:jc w:val="both"/>
                        <w:rPr>
                          <w:rFonts w:ascii="Times New Roman" w:hAnsi="Times New Roman" w:cs="Times New Roman"/>
                          <w:sz w:val="24"/>
                          <w:szCs w:val="24"/>
                        </w:rPr>
                      </w:pPr>
                      <w:r w:rsidRPr="006F18E5">
                        <w:rPr>
                          <w:rFonts w:ascii="Times New Roman" w:hAnsi="Times New Roman" w:cs="Times New Roman"/>
                          <w:b/>
                          <w:sz w:val="24"/>
                          <w:szCs w:val="24"/>
                        </w:rPr>
                        <w:t>Note to preparer:</w:t>
                      </w:r>
                      <w:r w:rsidRPr="006F18E5">
                        <w:rPr>
                          <w:rFonts w:ascii="Times New Roman" w:hAnsi="Times New Roman" w:cs="Times New Roman"/>
                          <w:sz w:val="24"/>
                          <w:szCs w:val="24"/>
                        </w:rPr>
                        <w:t xml:space="preserve"> For units whose only investments are with the North Carolina Capital Management Trust Government Portfolio, the following statement is all that is required for GASB 40 disclosure: “At June 30, </w:t>
                      </w:r>
                      <w:r w:rsidR="00A85B23" w:rsidRPr="00CE78D5">
                        <w:rPr>
                          <w:rFonts w:ascii="Times New Roman" w:hAnsi="Times New Roman" w:cs="Times New Roman"/>
                          <w:sz w:val="24"/>
                          <w:szCs w:val="24"/>
                        </w:rPr>
                        <w:t>202</w:t>
                      </w:r>
                      <w:r w:rsidR="00537DD4" w:rsidRPr="00CE78D5">
                        <w:rPr>
                          <w:rFonts w:ascii="Times New Roman" w:hAnsi="Times New Roman" w:cs="Times New Roman"/>
                          <w:sz w:val="24"/>
                          <w:szCs w:val="24"/>
                        </w:rPr>
                        <w:t>4</w:t>
                      </w:r>
                      <w:r w:rsidRPr="006F18E5">
                        <w:rPr>
                          <w:rFonts w:ascii="Times New Roman" w:hAnsi="Times New Roman" w:cs="Times New Roman"/>
                          <w:sz w:val="24"/>
                          <w:szCs w:val="24"/>
                        </w:rPr>
                        <w:t>, the City of Dogwood had $556,592 invested with the North Carolina Capital Management Trust’s Government Portfolio which carried a credit rating of AAA</w:t>
                      </w:r>
                      <w:r w:rsidR="00910EB5">
                        <w:rPr>
                          <w:rFonts w:ascii="Times New Roman" w:hAnsi="Times New Roman" w:cs="Times New Roman"/>
                          <w:sz w:val="24"/>
                          <w:szCs w:val="24"/>
                        </w:rPr>
                        <w:t>m</w:t>
                      </w:r>
                      <w:r w:rsidRPr="006F18E5">
                        <w:rPr>
                          <w:rFonts w:ascii="Times New Roman" w:hAnsi="Times New Roman" w:cs="Times New Roman"/>
                          <w:sz w:val="24"/>
                          <w:szCs w:val="24"/>
                        </w:rPr>
                        <w:t xml:space="preserve"> by Standard and Poor’s</w:t>
                      </w:r>
                      <w:r w:rsidR="00F26DAF">
                        <w:rPr>
                          <w:rFonts w:ascii="Times New Roman" w:hAnsi="Times New Roman" w:cs="Times New Roman"/>
                          <w:sz w:val="24"/>
                          <w:szCs w:val="24"/>
                        </w:rPr>
                        <w:t xml:space="preserve"> (S&amp;P)</w:t>
                      </w:r>
                      <w:r w:rsidRPr="006F18E5">
                        <w:rPr>
                          <w:rFonts w:ascii="Times New Roman" w:hAnsi="Times New Roman" w:cs="Times New Roman"/>
                          <w:sz w:val="24"/>
                          <w:szCs w:val="24"/>
                        </w:rPr>
                        <w:t xml:space="preserve">. The City has no policy regarding credit risk.”  </w:t>
                      </w:r>
                    </w:p>
                    <w:p w14:paraId="2EE49BD0" w14:textId="77777777" w:rsidR="00261EF8" w:rsidRPr="006F18E5" w:rsidRDefault="00261EF8" w:rsidP="0056179C">
                      <w:pPr>
                        <w:jc w:val="both"/>
                        <w:rPr>
                          <w:rFonts w:ascii="Times New Roman" w:hAnsi="Times New Roman" w:cs="Times New Roman"/>
                          <w:sz w:val="24"/>
                          <w:szCs w:val="24"/>
                        </w:rPr>
                      </w:pPr>
                    </w:p>
                    <w:p w14:paraId="14F412AE" w14:textId="77777777" w:rsidR="00D14921" w:rsidRPr="002F701B" w:rsidRDefault="00D14921" w:rsidP="0056179C"/>
                  </w:txbxContent>
                </v:textbox>
                <w10:wrap anchorx="margin"/>
              </v:shape>
            </w:pict>
          </mc:Fallback>
        </mc:AlternateContent>
      </w:r>
    </w:p>
    <w:p w14:paraId="2ED99C24" w14:textId="038D0E74" w:rsidR="0056179C" w:rsidRPr="004B0DA6" w:rsidRDefault="0056179C" w:rsidP="00203597">
      <w:pPr>
        <w:spacing w:after="0"/>
        <w:rPr>
          <w:rFonts w:ascii="Times New Roman" w:hAnsi="Times New Roman" w:cs="Times New Roman"/>
          <w:sz w:val="24"/>
        </w:rPr>
      </w:pPr>
    </w:p>
    <w:p w14:paraId="769C9E20" w14:textId="77777777" w:rsidR="0056179C" w:rsidRPr="004B0DA6" w:rsidRDefault="0056179C" w:rsidP="00203597">
      <w:pPr>
        <w:spacing w:after="0"/>
        <w:rPr>
          <w:rFonts w:ascii="Times New Roman" w:hAnsi="Times New Roman" w:cs="Times New Roman"/>
          <w:sz w:val="24"/>
        </w:rPr>
      </w:pPr>
    </w:p>
    <w:p w14:paraId="568CA0A3" w14:textId="77777777" w:rsidR="0056179C" w:rsidRPr="004B0DA6" w:rsidRDefault="0056179C" w:rsidP="00203597">
      <w:pPr>
        <w:pStyle w:val="BodyTextIndent"/>
        <w:spacing w:after="0"/>
        <w:ind w:left="0"/>
        <w:rPr>
          <w:rFonts w:ascii="Times New Roman" w:hAnsi="Times New Roman" w:cs="Times New Roman"/>
          <w:sz w:val="23"/>
          <w:szCs w:val="23"/>
        </w:rPr>
      </w:pPr>
    </w:p>
    <w:p w14:paraId="3A5172A5" w14:textId="77777777" w:rsidR="00651EA8" w:rsidRPr="004B0DA6" w:rsidRDefault="00651EA8" w:rsidP="00203597">
      <w:pPr>
        <w:spacing w:after="0"/>
        <w:rPr>
          <w:rFonts w:ascii="Times New Roman" w:hAnsi="Times New Roman" w:cs="Times New Roman"/>
        </w:rPr>
      </w:pPr>
    </w:p>
    <w:p w14:paraId="04A8B45E" w14:textId="58E793D2" w:rsidR="00651EA8" w:rsidRPr="004B0DA6" w:rsidRDefault="00651EA8" w:rsidP="00203597">
      <w:pPr>
        <w:spacing w:after="0"/>
        <w:rPr>
          <w:rFonts w:ascii="Times New Roman" w:hAnsi="Times New Roman" w:cs="Times New Roman"/>
        </w:rPr>
      </w:pPr>
    </w:p>
    <w:p w14:paraId="1CA97A35" w14:textId="77777777" w:rsidR="00651EA8" w:rsidRPr="004B0DA6" w:rsidRDefault="00651EA8" w:rsidP="00203597">
      <w:pPr>
        <w:spacing w:after="0"/>
        <w:rPr>
          <w:rFonts w:ascii="Times New Roman" w:hAnsi="Times New Roman" w:cs="Times New Roman"/>
        </w:rPr>
      </w:pPr>
    </w:p>
    <w:p w14:paraId="0F14B7F0" w14:textId="77777777" w:rsidR="008504B7" w:rsidRPr="004B0DA6" w:rsidRDefault="008504B7" w:rsidP="00203597">
      <w:pPr>
        <w:spacing w:after="0"/>
        <w:rPr>
          <w:rFonts w:ascii="Times New Roman" w:hAnsi="Times New Roman" w:cs="Times New Roman"/>
        </w:rPr>
      </w:pPr>
    </w:p>
    <w:p w14:paraId="63379C5B" w14:textId="7AE076C5" w:rsidR="008504B7" w:rsidRPr="004B0DA6" w:rsidRDefault="001F4EC6" w:rsidP="00203597">
      <w:pPr>
        <w:spacing w:after="0"/>
        <w:rPr>
          <w:rFonts w:ascii="Times New Roman" w:hAnsi="Times New Roman" w:cs="Times New Roman"/>
        </w:rPr>
      </w:pPr>
      <w:r w:rsidRPr="004B0DA6">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5938DD30" wp14:editId="373156EC">
                <wp:simplePos x="0" y="0"/>
                <wp:positionH relativeFrom="margin">
                  <wp:posOffset>33655</wp:posOffset>
                </wp:positionH>
                <wp:positionV relativeFrom="paragraph">
                  <wp:posOffset>103505</wp:posOffset>
                </wp:positionV>
                <wp:extent cx="5878195" cy="743585"/>
                <wp:effectExtent l="19050" t="19050" r="27305" b="18415"/>
                <wp:wrapNone/>
                <wp:docPr id="1572728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743585"/>
                        </a:xfrm>
                        <a:prstGeom prst="rect">
                          <a:avLst/>
                        </a:prstGeom>
                        <a:solidFill>
                          <a:srgbClr val="FFFFFF"/>
                        </a:solidFill>
                        <a:ln w="57150" cmpd="thickThin">
                          <a:solidFill>
                            <a:srgbClr val="000000"/>
                          </a:solidFill>
                          <a:miter lim="800000"/>
                          <a:headEnd/>
                          <a:tailEnd/>
                        </a:ln>
                      </wps:spPr>
                      <wps:txbx>
                        <w:txbxContent>
                          <w:p w14:paraId="29147F83" w14:textId="1EB60C2D" w:rsidR="008504B7" w:rsidRPr="006F18E5" w:rsidRDefault="00D14921" w:rsidP="0056179C">
                            <w:pPr>
                              <w:jc w:val="both"/>
                              <w:rPr>
                                <w:rFonts w:ascii="Times New Roman" w:hAnsi="Times New Roman" w:cs="Times New Roman"/>
                                <w:i/>
                                <w:sz w:val="24"/>
                                <w:szCs w:val="24"/>
                                <w:u w:val="single"/>
                              </w:rPr>
                            </w:pPr>
                            <w:r w:rsidRPr="006F18E5">
                              <w:rPr>
                                <w:rFonts w:ascii="Times New Roman" w:hAnsi="Times New Roman" w:cs="Times New Roman"/>
                                <w:b/>
                                <w:sz w:val="24"/>
                                <w:szCs w:val="24"/>
                              </w:rPr>
                              <w:t>Note to preparer:</w:t>
                            </w:r>
                            <w:r w:rsidRPr="006F18E5">
                              <w:rPr>
                                <w:rFonts w:ascii="Times New Roman" w:hAnsi="Times New Roman" w:cs="Times New Roman"/>
                                <w:sz w:val="24"/>
                                <w:szCs w:val="24"/>
                              </w:rPr>
                              <w:t xml:space="preserve"> City of Dogwood demonstrates the specific identification method requiring that each investment be listed. If the segmented time distribution method is preferred, please see Carolina County.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8DD30" id="Text Box 4" o:spid="_x0000_s1027" type="#_x0000_t202" style="position:absolute;margin-left:2.65pt;margin-top:8.15pt;width:462.85pt;height:58.5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zPKAIAAEQEAAAOAAAAZHJzL2Uyb0RvYy54bWysU9tu2zAMfR+wfxD0vjjO4iU14hRdugwD&#10;ugvQ7gNkWbaFyqImKbGzrx8lu2m67WmYHwTRpA7Jw8PN9dApchTWSdAFTWdzSoTmUEndFPT7w/7N&#10;mhLnma6YAi0KehKOXm9fv9r0JhcLaEFVwhIE0S7vTUFb702eJI63omNuBkZodNZgO+bRtE1SWdYj&#10;eqeSxXz+LunBVsYCF87h39vRSbcRv64F91/r2glPVEGxNh9PG88ynMl2w/LGMtNKPpXB/qGKjkmN&#10;Sc9Qt8wzcrDyD6hOcgsOaj/j0CVQ15KL2AN2k85/6+a+ZUbEXpAcZ840uf8Hy78c7803S/zwHgYc&#10;YGzCmTvgj45o2LVMN+LGWuhbwSpMnAbKkt64fHoaqHa5CyBl/xkqHDI7eIhAQ227wAr2SRAdB3A6&#10;ky4GTzj+zNardXqVUcLRt1q+zdZZTMHyp9fGOv9RQEfCpaAWhxrR2fHO+VANy59CQjIHSlZ7qVQ0&#10;bFPulCVHhgLYx29CfxGmNOmxlFWaYY28M1VBPSri8aGd5voi2l2CzuP3N9BOetS2kl1B1+cglgci&#10;P+gqKs8zqcY7NqH0xGwgc6TVD+VAJFYTaQ9El1CdkGoLo5Rx9fDSgv1JSY8yLqj7cWBWUKI+aRzX&#10;VbpcBt1HY5mtFmjYS0956WGaIxT2Tsl43flxVw7GyqbFTKNANNzgiGsZ2X+uaiofpRqHMq1V2IVL&#10;O0Y9L//2FwAAAP//AwBQSwMEFAAGAAgAAAAhAODqQGPeAAAACAEAAA8AAABkcnMvZG93bnJldi54&#10;bWxMT01Lw0AQvQv+h2UEL8Vu2thiYzbFCuJBekgVvG6yYzaYnQ3ZTRr99Y4nPQ3vgzfv5fvZdWLC&#10;IbSeFKyWCQik2puWGgVvr083dyBC1GR05wkVfGGAfXF5kevM+DOVOJ1iIziEQqYV2Bj7TMpQW3Q6&#10;LH2PxNqHH5yODIdGmkGfOdx1cp0kW+l0S/zB6h4fLdafp9Ep+D4u1ouXw6EqR9xt+rJ/t9P0rNT1&#10;1fxwDyLiHP/M8Fufq0PBnSo/kgmiU7BJ2cj0li/Lu3TF0yom0vQWZJHL/wOKHwAAAP//AwBQSwEC&#10;LQAUAAYACAAAACEAtoM4kv4AAADhAQAAEwAAAAAAAAAAAAAAAAAAAAAAW0NvbnRlbnRfVHlwZXNd&#10;LnhtbFBLAQItABQABgAIAAAAIQA4/SH/1gAAAJQBAAALAAAAAAAAAAAAAAAAAC8BAABfcmVscy8u&#10;cmVsc1BLAQItABQABgAIAAAAIQDOGmzPKAIAAEQEAAAOAAAAAAAAAAAAAAAAAC4CAABkcnMvZTJv&#10;RG9jLnhtbFBLAQItABQABgAIAAAAIQDg6kBj3gAAAAgBAAAPAAAAAAAAAAAAAAAAAIIEAABkcnMv&#10;ZG93bnJldi54bWxQSwUGAAAAAAQABADzAAAAjQUAAAAA&#10;" strokeweight="4.5pt">
                <v:stroke linestyle="thickThin"/>
                <v:textbox>
                  <w:txbxContent>
                    <w:p w14:paraId="29147F83" w14:textId="1EB60C2D" w:rsidR="008504B7" w:rsidRPr="006F18E5" w:rsidRDefault="00D14921" w:rsidP="0056179C">
                      <w:pPr>
                        <w:jc w:val="both"/>
                        <w:rPr>
                          <w:rFonts w:ascii="Times New Roman" w:hAnsi="Times New Roman" w:cs="Times New Roman"/>
                          <w:i/>
                          <w:sz w:val="24"/>
                          <w:szCs w:val="24"/>
                          <w:u w:val="single"/>
                        </w:rPr>
                      </w:pPr>
                      <w:r w:rsidRPr="006F18E5">
                        <w:rPr>
                          <w:rFonts w:ascii="Times New Roman" w:hAnsi="Times New Roman" w:cs="Times New Roman"/>
                          <w:b/>
                          <w:sz w:val="24"/>
                          <w:szCs w:val="24"/>
                        </w:rPr>
                        <w:t>Note to preparer:</w:t>
                      </w:r>
                      <w:r w:rsidRPr="006F18E5">
                        <w:rPr>
                          <w:rFonts w:ascii="Times New Roman" w:hAnsi="Times New Roman" w:cs="Times New Roman"/>
                          <w:sz w:val="24"/>
                          <w:szCs w:val="24"/>
                        </w:rPr>
                        <w:t xml:space="preserve"> City of Dogwood demonstrates the specific identification method requiring that each investment be listed. If the segmented time distribution method is preferred, please see Carolina County. </w:t>
                      </w:r>
                    </w:p>
                  </w:txbxContent>
                </v:textbox>
                <w10:wrap anchorx="margin"/>
              </v:shape>
            </w:pict>
          </mc:Fallback>
        </mc:AlternateContent>
      </w:r>
    </w:p>
    <w:p w14:paraId="3D0B7A35" w14:textId="77777777" w:rsidR="008504B7" w:rsidRPr="004B0DA6" w:rsidRDefault="008504B7" w:rsidP="00203597">
      <w:pPr>
        <w:spacing w:after="0"/>
        <w:rPr>
          <w:rFonts w:ascii="Times New Roman" w:hAnsi="Times New Roman" w:cs="Times New Roman"/>
        </w:rPr>
      </w:pPr>
    </w:p>
    <w:p w14:paraId="74117C2F" w14:textId="67311555" w:rsidR="008504B7" w:rsidRPr="004B0DA6" w:rsidRDefault="008504B7" w:rsidP="00203597">
      <w:pPr>
        <w:spacing w:after="0"/>
        <w:rPr>
          <w:rFonts w:ascii="Times New Roman" w:hAnsi="Times New Roman" w:cs="Times New Roman"/>
        </w:rPr>
      </w:pPr>
    </w:p>
    <w:p w14:paraId="26166DA5" w14:textId="77777777" w:rsidR="008504B7" w:rsidRPr="004B0DA6" w:rsidRDefault="008504B7" w:rsidP="00203597">
      <w:pPr>
        <w:spacing w:after="0"/>
        <w:rPr>
          <w:rFonts w:ascii="Times New Roman" w:hAnsi="Times New Roman" w:cs="Times New Roman"/>
        </w:rPr>
      </w:pPr>
    </w:p>
    <w:p w14:paraId="533697A8" w14:textId="77777777" w:rsidR="008504B7" w:rsidRPr="004B0DA6" w:rsidRDefault="008504B7" w:rsidP="00203597">
      <w:pPr>
        <w:spacing w:after="0"/>
        <w:rPr>
          <w:rFonts w:ascii="Times New Roman" w:hAnsi="Times New Roman" w:cs="Times New Roman"/>
        </w:rPr>
      </w:pPr>
    </w:p>
    <w:p w14:paraId="0518ED6F" w14:textId="77777777" w:rsidR="008504B7" w:rsidRPr="004B0DA6" w:rsidRDefault="008504B7" w:rsidP="00203597">
      <w:pPr>
        <w:spacing w:after="0"/>
        <w:rPr>
          <w:rFonts w:ascii="Times New Roman" w:hAnsi="Times New Roman" w:cs="Times New Roman"/>
        </w:rPr>
      </w:pPr>
    </w:p>
    <w:p w14:paraId="75071927" w14:textId="240CBDF6" w:rsidR="0056179C" w:rsidRPr="004B0DA6" w:rsidRDefault="0056179C" w:rsidP="00203597">
      <w:pPr>
        <w:spacing w:after="0"/>
        <w:rPr>
          <w:rFonts w:ascii="Times New Roman" w:hAnsi="Times New Roman" w:cs="Times New Roman"/>
          <w:sz w:val="24"/>
          <w:szCs w:val="24"/>
        </w:rPr>
      </w:pPr>
      <w:r w:rsidRPr="004B0DA6">
        <w:rPr>
          <w:rFonts w:ascii="Times New Roman" w:hAnsi="Times New Roman" w:cs="Times New Roman"/>
          <w:sz w:val="24"/>
          <w:szCs w:val="24"/>
        </w:rPr>
        <w:t xml:space="preserve">At June 30, </w:t>
      </w:r>
      <w:r w:rsidR="00A85B23" w:rsidRPr="004B0DA6">
        <w:rPr>
          <w:rFonts w:ascii="Times New Roman" w:hAnsi="Times New Roman" w:cs="Times New Roman"/>
          <w:sz w:val="24"/>
          <w:szCs w:val="24"/>
        </w:rPr>
        <w:t>202</w:t>
      </w:r>
      <w:r w:rsidR="00537DD4" w:rsidRPr="004B0DA6">
        <w:rPr>
          <w:rFonts w:ascii="Times New Roman" w:hAnsi="Times New Roman" w:cs="Times New Roman"/>
          <w:sz w:val="24"/>
          <w:szCs w:val="24"/>
        </w:rPr>
        <w:t>4</w:t>
      </w:r>
      <w:r w:rsidRPr="004B0DA6">
        <w:rPr>
          <w:rFonts w:ascii="Times New Roman" w:hAnsi="Times New Roman" w:cs="Times New Roman"/>
          <w:sz w:val="24"/>
          <w:szCs w:val="24"/>
        </w:rPr>
        <w:t>, the City’s investment balances were as follows:</w:t>
      </w:r>
    </w:p>
    <w:tbl>
      <w:tblPr>
        <w:tblW w:w="9029" w:type="dxa"/>
        <w:tblLook w:val="0000" w:firstRow="0" w:lastRow="0" w:firstColumn="0" w:lastColumn="0" w:noHBand="0" w:noVBand="0"/>
      </w:tblPr>
      <w:tblGrid>
        <w:gridCol w:w="3410"/>
        <w:gridCol w:w="1648"/>
        <w:gridCol w:w="1308"/>
        <w:gridCol w:w="1697"/>
        <w:gridCol w:w="966"/>
      </w:tblGrid>
      <w:tr w:rsidR="0056179C" w:rsidRPr="004B0DA6" w14:paraId="6D4784B5" w14:textId="77777777" w:rsidTr="00817BB5">
        <w:trPr>
          <w:trHeight w:val="234"/>
        </w:trPr>
        <w:tc>
          <w:tcPr>
            <w:tcW w:w="3410" w:type="dxa"/>
          </w:tcPr>
          <w:p w14:paraId="41FD209D" w14:textId="218573D0" w:rsidR="008504B7" w:rsidRPr="004B0DA6" w:rsidRDefault="008504B7" w:rsidP="00203597">
            <w:pPr>
              <w:pStyle w:val="BodyText2"/>
              <w:rPr>
                <w:rFonts w:ascii="Times New Roman" w:hAnsi="Times New Roman" w:cs="Times New Roman"/>
                <w:b/>
                <w:bCs/>
                <w:position w:val="-2"/>
                <w:sz w:val="24"/>
              </w:rPr>
            </w:pPr>
          </w:p>
          <w:p w14:paraId="5D3606A9" w14:textId="77777777" w:rsidR="008504B7" w:rsidRPr="004B0DA6" w:rsidRDefault="008504B7" w:rsidP="00203597">
            <w:pPr>
              <w:pStyle w:val="BodyText2"/>
              <w:rPr>
                <w:rFonts w:ascii="Times New Roman" w:hAnsi="Times New Roman" w:cs="Times New Roman"/>
                <w:b/>
                <w:bCs/>
                <w:position w:val="-2"/>
                <w:sz w:val="24"/>
              </w:rPr>
            </w:pPr>
          </w:p>
          <w:p w14:paraId="014AE706" w14:textId="157DFB56" w:rsidR="0056179C" w:rsidRPr="004B0DA6" w:rsidRDefault="008504B7" w:rsidP="00203597">
            <w:pPr>
              <w:pStyle w:val="BodyText2"/>
              <w:rPr>
                <w:rFonts w:ascii="Times New Roman" w:hAnsi="Times New Roman" w:cs="Times New Roman"/>
                <w:b/>
                <w:bCs/>
                <w:position w:val="-2"/>
                <w:sz w:val="24"/>
              </w:rPr>
            </w:pPr>
            <w:r w:rsidRPr="004B0DA6">
              <w:rPr>
                <w:rFonts w:ascii="Times New Roman" w:hAnsi="Times New Roman" w:cs="Times New Roman"/>
                <w:b/>
                <w:bCs/>
                <w:position w:val="-2"/>
                <w:sz w:val="24"/>
              </w:rPr>
              <w:t>I</w:t>
            </w:r>
            <w:r w:rsidR="0056179C" w:rsidRPr="004B0DA6">
              <w:rPr>
                <w:rFonts w:ascii="Times New Roman" w:hAnsi="Times New Roman" w:cs="Times New Roman"/>
                <w:b/>
                <w:bCs/>
                <w:position w:val="-2"/>
                <w:sz w:val="24"/>
              </w:rPr>
              <w:t>nvestments by Type</w:t>
            </w:r>
          </w:p>
        </w:tc>
        <w:tc>
          <w:tcPr>
            <w:tcW w:w="1648" w:type="dxa"/>
          </w:tcPr>
          <w:p w14:paraId="302FCAD0" w14:textId="77777777" w:rsidR="008504B7" w:rsidRPr="004B0DA6" w:rsidRDefault="0056179C" w:rsidP="00203597">
            <w:pPr>
              <w:pStyle w:val="BodyText2"/>
              <w:rPr>
                <w:rFonts w:ascii="Times New Roman" w:hAnsi="Times New Roman" w:cs="Times New Roman"/>
                <w:b/>
                <w:bCs/>
                <w:position w:val="-2"/>
                <w:sz w:val="24"/>
              </w:rPr>
            </w:pPr>
            <w:r w:rsidRPr="004B0DA6">
              <w:rPr>
                <w:rFonts w:ascii="Times New Roman" w:hAnsi="Times New Roman" w:cs="Times New Roman"/>
                <w:b/>
                <w:bCs/>
                <w:position w:val="-2"/>
                <w:sz w:val="24"/>
              </w:rPr>
              <w:t xml:space="preserve">Valuation </w:t>
            </w:r>
          </w:p>
          <w:p w14:paraId="318D77FE" w14:textId="62493A91" w:rsidR="0056179C" w:rsidRPr="004B0DA6" w:rsidDel="0087246C" w:rsidRDefault="008504B7" w:rsidP="00203597">
            <w:pPr>
              <w:pStyle w:val="BodyText2"/>
              <w:rPr>
                <w:rFonts w:ascii="Times New Roman" w:hAnsi="Times New Roman" w:cs="Times New Roman"/>
                <w:b/>
                <w:bCs/>
                <w:position w:val="-2"/>
                <w:sz w:val="24"/>
              </w:rPr>
            </w:pPr>
            <w:r w:rsidRPr="004B0DA6">
              <w:rPr>
                <w:rFonts w:ascii="Times New Roman" w:hAnsi="Times New Roman" w:cs="Times New Roman"/>
                <w:b/>
                <w:bCs/>
                <w:position w:val="-2"/>
                <w:sz w:val="24"/>
              </w:rPr>
              <w:t>M</w:t>
            </w:r>
            <w:r w:rsidR="0056179C" w:rsidRPr="004B0DA6">
              <w:rPr>
                <w:rFonts w:ascii="Times New Roman" w:hAnsi="Times New Roman" w:cs="Times New Roman"/>
                <w:b/>
                <w:bCs/>
                <w:position w:val="-2"/>
                <w:sz w:val="24"/>
              </w:rPr>
              <w:t>easurement Method</w:t>
            </w:r>
          </w:p>
        </w:tc>
        <w:tc>
          <w:tcPr>
            <w:tcW w:w="1308" w:type="dxa"/>
          </w:tcPr>
          <w:p w14:paraId="6104F027" w14:textId="5F3B5B98" w:rsidR="008504B7" w:rsidRPr="004B0DA6" w:rsidRDefault="0056179C" w:rsidP="00203597">
            <w:pPr>
              <w:pStyle w:val="BodyText2"/>
              <w:jc w:val="center"/>
              <w:rPr>
                <w:rFonts w:ascii="Times New Roman" w:hAnsi="Times New Roman" w:cs="Times New Roman"/>
                <w:b/>
                <w:bCs/>
                <w:position w:val="-2"/>
                <w:sz w:val="24"/>
              </w:rPr>
            </w:pPr>
            <w:r w:rsidRPr="004B0DA6">
              <w:rPr>
                <w:rFonts w:ascii="Times New Roman" w:hAnsi="Times New Roman" w:cs="Times New Roman"/>
                <w:b/>
                <w:bCs/>
                <w:position w:val="-2"/>
                <w:sz w:val="24"/>
              </w:rPr>
              <w:t xml:space="preserve">Book </w:t>
            </w:r>
          </w:p>
          <w:p w14:paraId="1B412890" w14:textId="17E05B7D" w:rsidR="0056179C" w:rsidRPr="004B0DA6" w:rsidRDefault="0056179C" w:rsidP="00203597">
            <w:pPr>
              <w:pStyle w:val="BodyText2"/>
              <w:jc w:val="center"/>
              <w:rPr>
                <w:rFonts w:ascii="Times New Roman" w:hAnsi="Times New Roman" w:cs="Times New Roman"/>
                <w:b/>
                <w:bCs/>
                <w:position w:val="-2"/>
                <w:sz w:val="24"/>
              </w:rPr>
            </w:pPr>
            <w:r w:rsidRPr="004B0DA6">
              <w:rPr>
                <w:rFonts w:ascii="Times New Roman" w:hAnsi="Times New Roman" w:cs="Times New Roman"/>
                <w:b/>
                <w:bCs/>
                <w:position w:val="-2"/>
                <w:sz w:val="24"/>
              </w:rPr>
              <w:t>Value at 6/30/</w:t>
            </w:r>
            <w:r w:rsidR="00A85B23" w:rsidRPr="004B0DA6">
              <w:rPr>
                <w:rFonts w:ascii="Times New Roman" w:hAnsi="Times New Roman" w:cs="Times New Roman"/>
                <w:b/>
                <w:bCs/>
                <w:position w:val="-2"/>
                <w:sz w:val="24"/>
              </w:rPr>
              <w:t>202</w:t>
            </w:r>
            <w:r w:rsidR="00537DD4" w:rsidRPr="004B0DA6">
              <w:rPr>
                <w:rFonts w:ascii="Times New Roman" w:hAnsi="Times New Roman" w:cs="Times New Roman"/>
                <w:b/>
                <w:bCs/>
                <w:position w:val="-2"/>
                <w:sz w:val="24"/>
              </w:rPr>
              <w:t>4</w:t>
            </w:r>
          </w:p>
        </w:tc>
        <w:tc>
          <w:tcPr>
            <w:tcW w:w="1697" w:type="dxa"/>
          </w:tcPr>
          <w:p w14:paraId="3E793812" w14:textId="77777777" w:rsidR="008504B7" w:rsidRPr="004B0DA6" w:rsidRDefault="008504B7" w:rsidP="00203597">
            <w:pPr>
              <w:pStyle w:val="BodyText2"/>
              <w:jc w:val="center"/>
              <w:rPr>
                <w:rFonts w:ascii="Times New Roman" w:hAnsi="Times New Roman" w:cs="Times New Roman"/>
                <w:b/>
                <w:bCs/>
                <w:position w:val="-2"/>
                <w:sz w:val="24"/>
              </w:rPr>
            </w:pPr>
          </w:p>
          <w:p w14:paraId="0F006918" w14:textId="77777777" w:rsidR="008504B7" w:rsidRPr="004B0DA6" w:rsidRDefault="008504B7" w:rsidP="00203597">
            <w:pPr>
              <w:pStyle w:val="BodyText2"/>
              <w:jc w:val="center"/>
              <w:rPr>
                <w:rFonts w:ascii="Times New Roman" w:hAnsi="Times New Roman" w:cs="Times New Roman"/>
                <w:b/>
                <w:bCs/>
                <w:position w:val="-2"/>
                <w:sz w:val="24"/>
              </w:rPr>
            </w:pPr>
          </w:p>
          <w:p w14:paraId="2DBDE0C3" w14:textId="4B68D000" w:rsidR="0056179C" w:rsidRPr="004B0DA6" w:rsidRDefault="0056179C" w:rsidP="00203597">
            <w:pPr>
              <w:pStyle w:val="BodyText2"/>
              <w:jc w:val="center"/>
              <w:rPr>
                <w:rFonts w:ascii="Times New Roman" w:hAnsi="Times New Roman" w:cs="Times New Roman"/>
                <w:b/>
                <w:bCs/>
                <w:position w:val="-2"/>
                <w:sz w:val="24"/>
              </w:rPr>
            </w:pPr>
            <w:r w:rsidRPr="004B0DA6">
              <w:rPr>
                <w:rFonts w:ascii="Times New Roman" w:hAnsi="Times New Roman" w:cs="Times New Roman"/>
                <w:b/>
                <w:bCs/>
                <w:position w:val="-2"/>
                <w:sz w:val="24"/>
              </w:rPr>
              <w:t>Maturity</w:t>
            </w:r>
          </w:p>
        </w:tc>
        <w:tc>
          <w:tcPr>
            <w:tcW w:w="966" w:type="dxa"/>
          </w:tcPr>
          <w:p w14:paraId="46F43EC7" w14:textId="77777777" w:rsidR="008504B7" w:rsidRPr="004B0DA6" w:rsidRDefault="008504B7" w:rsidP="00203597">
            <w:pPr>
              <w:pStyle w:val="BodyText2"/>
              <w:jc w:val="center"/>
              <w:rPr>
                <w:rFonts w:ascii="Times New Roman" w:hAnsi="Times New Roman" w:cs="Times New Roman"/>
                <w:b/>
                <w:bCs/>
                <w:position w:val="-2"/>
                <w:sz w:val="24"/>
              </w:rPr>
            </w:pPr>
          </w:p>
          <w:p w14:paraId="1657CE8A" w14:textId="77777777" w:rsidR="008504B7" w:rsidRPr="004B0DA6" w:rsidRDefault="008504B7" w:rsidP="00203597">
            <w:pPr>
              <w:pStyle w:val="BodyText2"/>
              <w:jc w:val="center"/>
              <w:rPr>
                <w:rFonts w:ascii="Times New Roman" w:hAnsi="Times New Roman" w:cs="Times New Roman"/>
                <w:b/>
                <w:bCs/>
                <w:position w:val="-2"/>
                <w:sz w:val="24"/>
              </w:rPr>
            </w:pPr>
          </w:p>
          <w:p w14:paraId="701E3527" w14:textId="77777777" w:rsidR="000A1843" w:rsidRPr="004B0DA6" w:rsidRDefault="0056179C" w:rsidP="005B3C2B">
            <w:pPr>
              <w:pStyle w:val="BodyText2"/>
              <w:jc w:val="center"/>
              <w:rPr>
                <w:rFonts w:ascii="Times New Roman" w:hAnsi="Times New Roman" w:cs="Times New Roman"/>
                <w:b/>
                <w:bCs/>
                <w:position w:val="-2"/>
                <w:sz w:val="24"/>
              </w:rPr>
            </w:pPr>
            <w:r w:rsidRPr="004B0DA6">
              <w:rPr>
                <w:rFonts w:ascii="Times New Roman" w:hAnsi="Times New Roman" w:cs="Times New Roman"/>
                <w:b/>
                <w:bCs/>
                <w:position w:val="-2"/>
                <w:sz w:val="24"/>
              </w:rPr>
              <w:t>Rating</w:t>
            </w:r>
          </w:p>
          <w:p w14:paraId="68645CC3" w14:textId="0802D7D2" w:rsidR="005B3C2B" w:rsidRPr="004B0DA6" w:rsidRDefault="005B3C2B" w:rsidP="005B3C2B">
            <w:pPr>
              <w:pStyle w:val="BodyText2"/>
              <w:jc w:val="center"/>
              <w:rPr>
                <w:rFonts w:ascii="Times New Roman" w:hAnsi="Times New Roman" w:cs="Times New Roman"/>
                <w:b/>
                <w:bCs/>
                <w:position w:val="-2"/>
                <w:sz w:val="24"/>
              </w:rPr>
            </w:pPr>
          </w:p>
        </w:tc>
      </w:tr>
      <w:tr w:rsidR="0056179C" w:rsidRPr="004B0DA6" w14:paraId="7DB6BAA9" w14:textId="77777777" w:rsidTr="00817BB5">
        <w:trPr>
          <w:trHeight w:val="254"/>
        </w:trPr>
        <w:tc>
          <w:tcPr>
            <w:tcW w:w="3410" w:type="dxa"/>
          </w:tcPr>
          <w:p w14:paraId="6BBB106F" w14:textId="77777777" w:rsidR="0056179C" w:rsidRPr="004B0DA6" w:rsidRDefault="0056179C" w:rsidP="00203597">
            <w:pPr>
              <w:pStyle w:val="BodyText2"/>
              <w:rPr>
                <w:rFonts w:ascii="Times New Roman" w:hAnsi="Times New Roman" w:cs="Times New Roman"/>
                <w:position w:val="-2"/>
                <w:sz w:val="24"/>
              </w:rPr>
            </w:pPr>
            <w:r w:rsidRPr="004B0DA6">
              <w:rPr>
                <w:rFonts w:ascii="Times New Roman" w:hAnsi="Times New Roman" w:cs="Times New Roman"/>
                <w:position w:val="-2"/>
                <w:sz w:val="24"/>
              </w:rPr>
              <w:t>Repurchase Agreement</w:t>
            </w:r>
          </w:p>
        </w:tc>
        <w:tc>
          <w:tcPr>
            <w:tcW w:w="1648" w:type="dxa"/>
          </w:tcPr>
          <w:p w14:paraId="027255C2" w14:textId="77777777" w:rsidR="0056179C" w:rsidRPr="004B0DA6" w:rsidRDefault="0056179C" w:rsidP="00203597">
            <w:pPr>
              <w:pStyle w:val="BodyText2"/>
              <w:rPr>
                <w:rFonts w:ascii="Times New Roman" w:hAnsi="Times New Roman" w:cs="Times New Roman"/>
                <w:position w:val="-2"/>
                <w:sz w:val="24"/>
              </w:rPr>
            </w:pPr>
            <w:r w:rsidRPr="004B0DA6">
              <w:rPr>
                <w:rFonts w:ascii="Times New Roman" w:hAnsi="Times New Roman" w:cs="Times New Roman"/>
                <w:position w:val="-2"/>
                <w:sz w:val="24"/>
              </w:rPr>
              <w:t>Cost</w:t>
            </w:r>
          </w:p>
        </w:tc>
        <w:tc>
          <w:tcPr>
            <w:tcW w:w="1308" w:type="dxa"/>
          </w:tcPr>
          <w:p w14:paraId="7750A873" w14:textId="14428A43" w:rsidR="0056179C" w:rsidRPr="004B0DA6" w:rsidRDefault="0056179C" w:rsidP="00203597">
            <w:pPr>
              <w:pStyle w:val="BodyText2"/>
              <w:jc w:val="right"/>
              <w:rPr>
                <w:rFonts w:ascii="Times New Roman" w:hAnsi="Times New Roman" w:cs="Times New Roman"/>
                <w:position w:val="-2"/>
                <w:sz w:val="24"/>
              </w:rPr>
            </w:pPr>
            <w:r w:rsidRPr="004B0DA6">
              <w:rPr>
                <w:rFonts w:ascii="Times New Roman" w:hAnsi="Times New Roman" w:cs="Times New Roman"/>
                <w:position w:val="-2"/>
                <w:sz w:val="24"/>
              </w:rPr>
              <w:t>$   300,000</w:t>
            </w:r>
          </w:p>
        </w:tc>
        <w:tc>
          <w:tcPr>
            <w:tcW w:w="1697" w:type="dxa"/>
          </w:tcPr>
          <w:p w14:paraId="6C5B2DBA" w14:textId="77777777" w:rsidR="0056179C" w:rsidRPr="004B0DA6" w:rsidRDefault="0056179C" w:rsidP="00203597">
            <w:pPr>
              <w:pStyle w:val="BodyText2"/>
              <w:jc w:val="center"/>
              <w:rPr>
                <w:rFonts w:ascii="Times New Roman" w:hAnsi="Times New Roman" w:cs="Times New Roman"/>
                <w:position w:val="-2"/>
                <w:sz w:val="24"/>
              </w:rPr>
            </w:pPr>
            <w:r w:rsidRPr="004B0DA6">
              <w:rPr>
                <w:rFonts w:ascii="Times New Roman" w:hAnsi="Times New Roman" w:cs="Times New Roman"/>
                <w:position w:val="-2"/>
                <w:sz w:val="24"/>
              </w:rPr>
              <w:t>Daily</w:t>
            </w:r>
          </w:p>
        </w:tc>
        <w:tc>
          <w:tcPr>
            <w:tcW w:w="966" w:type="dxa"/>
          </w:tcPr>
          <w:p w14:paraId="00F62359" w14:textId="77777777" w:rsidR="0056179C" w:rsidRPr="004B0DA6" w:rsidRDefault="0056179C" w:rsidP="00203597">
            <w:pPr>
              <w:pStyle w:val="BodyText2"/>
              <w:jc w:val="center"/>
              <w:rPr>
                <w:rFonts w:ascii="Times New Roman" w:hAnsi="Times New Roman" w:cs="Times New Roman"/>
                <w:position w:val="-2"/>
                <w:sz w:val="24"/>
              </w:rPr>
            </w:pPr>
            <w:r w:rsidRPr="004B0DA6">
              <w:rPr>
                <w:rFonts w:ascii="Times New Roman" w:hAnsi="Times New Roman" w:cs="Times New Roman"/>
                <w:position w:val="-2"/>
                <w:sz w:val="24"/>
              </w:rPr>
              <w:t>N/A</w:t>
            </w:r>
          </w:p>
        </w:tc>
      </w:tr>
      <w:tr w:rsidR="0056179C" w:rsidRPr="004B0DA6" w14:paraId="1EFB0E9F" w14:textId="77777777" w:rsidTr="00817BB5">
        <w:trPr>
          <w:trHeight w:val="254"/>
        </w:trPr>
        <w:tc>
          <w:tcPr>
            <w:tcW w:w="3410" w:type="dxa"/>
          </w:tcPr>
          <w:p w14:paraId="6623E17A" w14:textId="51EA1D44" w:rsidR="0056179C" w:rsidRPr="004B0DA6" w:rsidRDefault="0056179C" w:rsidP="00203597">
            <w:pPr>
              <w:pStyle w:val="BodyText2"/>
              <w:rPr>
                <w:rFonts w:ascii="Times New Roman" w:hAnsi="Times New Roman" w:cs="Times New Roman"/>
                <w:position w:val="-2"/>
                <w:sz w:val="24"/>
              </w:rPr>
            </w:pPr>
            <w:r w:rsidRPr="004B0DA6">
              <w:rPr>
                <w:rFonts w:ascii="Times New Roman" w:hAnsi="Times New Roman" w:cs="Times New Roman"/>
                <w:position w:val="-2"/>
                <w:sz w:val="24"/>
              </w:rPr>
              <w:t>US Treasuries</w:t>
            </w:r>
          </w:p>
        </w:tc>
        <w:tc>
          <w:tcPr>
            <w:tcW w:w="1648" w:type="dxa"/>
          </w:tcPr>
          <w:p w14:paraId="098DE2E9" w14:textId="77777777" w:rsidR="0056179C" w:rsidRPr="004B0DA6" w:rsidRDefault="0056179C" w:rsidP="00203597">
            <w:pPr>
              <w:pStyle w:val="BodyText2"/>
              <w:rPr>
                <w:rFonts w:ascii="Times New Roman" w:hAnsi="Times New Roman" w:cs="Times New Roman"/>
                <w:position w:val="-2"/>
                <w:sz w:val="24"/>
              </w:rPr>
            </w:pPr>
            <w:r w:rsidRPr="004B0DA6">
              <w:rPr>
                <w:rFonts w:ascii="Times New Roman" w:hAnsi="Times New Roman" w:cs="Times New Roman"/>
                <w:position w:val="-2"/>
                <w:sz w:val="24"/>
              </w:rPr>
              <w:t>Fair Value Level 1</w:t>
            </w:r>
          </w:p>
        </w:tc>
        <w:tc>
          <w:tcPr>
            <w:tcW w:w="1308" w:type="dxa"/>
          </w:tcPr>
          <w:p w14:paraId="2346B31A" w14:textId="0922C2A5" w:rsidR="0056179C" w:rsidRPr="004B0DA6" w:rsidRDefault="0056179C" w:rsidP="00203597">
            <w:pPr>
              <w:pStyle w:val="BodyText2"/>
              <w:jc w:val="right"/>
              <w:rPr>
                <w:rFonts w:ascii="Times New Roman" w:hAnsi="Times New Roman" w:cs="Times New Roman"/>
                <w:position w:val="-2"/>
                <w:sz w:val="24"/>
              </w:rPr>
            </w:pPr>
            <w:r w:rsidRPr="004B0DA6">
              <w:rPr>
                <w:rFonts w:ascii="Times New Roman" w:hAnsi="Times New Roman" w:cs="Times New Roman"/>
                <w:position w:val="-2"/>
                <w:sz w:val="24"/>
              </w:rPr>
              <w:t xml:space="preserve">  </w:t>
            </w:r>
            <w:r w:rsidR="00F01648" w:rsidRPr="004B0DA6">
              <w:rPr>
                <w:rFonts w:ascii="Times New Roman" w:hAnsi="Times New Roman" w:cs="Times New Roman"/>
                <w:position w:val="-2"/>
                <w:sz w:val="24"/>
              </w:rPr>
              <w:t>2</w:t>
            </w:r>
            <w:r w:rsidRPr="004B0DA6">
              <w:rPr>
                <w:rFonts w:ascii="Times New Roman" w:hAnsi="Times New Roman" w:cs="Times New Roman"/>
                <w:position w:val="-2"/>
                <w:sz w:val="24"/>
              </w:rPr>
              <w:t>58,938</w:t>
            </w:r>
          </w:p>
        </w:tc>
        <w:tc>
          <w:tcPr>
            <w:tcW w:w="1697" w:type="dxa"/>
          </w:tcPr>
          <w:p w14:paraId="6A51B799" w14:textId="15228B14" w:rsidR="0056179C" w:rsidRPr="004B0DA6" w:rsidRDefault="0056179C" w:rsidP="00203597">
            <w:pPr>
              <w:pStyle w:val="BodyText2"/>
              <w:jc w:val="center"/>
              <w:rPr>
                <w:rFonts w:ascii="Times New Roman" w:hAnsi="Times New Roman" w:cs="Times New Roman"/>
                <w:position w:val="-2"/>
                <w:sz w:val="24"/>
              </w:rPr>
            </w:pPr>
            <w:r w:rsidRPr="004B0DA6">
              <w:rPr>
                <w:rFonts w:ascii="Times New Roman" w:hAnsi="Times New Roman" w:cs="Times New Roman"/>
                <w:position w:val="-2"/>
                <w:sz w:val="24"/>
              </w:rPr>
              <w:t xml:space="preserve">August 30, </w:t>
            </w:r>
            <w:r w:rsidR="00A85B23" w:rsidRPr="004B0DA6">
              <w:rPr>
                <w:rFonts w:ascii="Times New Roman" w:hAnsi="Times New Roman" w:cs="Times New Roman"/>
                <w:position w:val="-2"/>
                <w:sz w:val="24"/>
              </w:rPr>
              <w:t>202</w:t>
            </w:r>
            <w:r w:rsidR="00537DD4" w:rsidRPr="004B0DA6">
              <w:rPr>
                <w:rFonts w:ascii="Times New Roman" w:hAnsi="Times New Roman" w:cs="Times New Roman"/>
                <w:position w:val="-2"/>
                <w:sz w:val="24"/>
              </w:rPr>
              <w:t>4</w:t>
            </w:r>
          </w:p>
        </w:tc>
        <w:tc>
          <w:tcPr>
            <w:tcW w:w="966" w:type="dxa"/>
          </w:tcPr>
          <w:p w14:paraId="5BFD498A" w14:textId="77777777" w:rsidR="0056179C" w:rsidRPr="004B0DA6" w:rsidRDefault="0056179C" w:rsidP="00203597">
            <w:pPr>
              <w:pStyle w:val="BodyText2"/>
              <w:jc w:val="center"/>
              <w:rPr>
                <w:rFonts w:ascii="Times New Roman" w:hAnsi="Times New Roman" w:cs="Times New Roman"/>
                <w:position w:val="-2"/>
                <w:sz w:val="24"/>
              </w:rPr>
            </w:pPr>
            <w:r w:rsidRPr="004B0DA6">
              <w:rPr>
                <w:rFonts w:ascii="Times New Roman" w:hAnsi="Times New Roman" w:cs="Times New Roman"/>
                <w:position w:val="-2"/>
                <w:sz w:val="24"/>
              </w:rPr>
              <w:t>AAA</w:t>
            </w:r>
          </w:p>
        </w:tc>
      </w:tr>
      <w:tr w:rsidR="0056179C" w:rsidRPr="004B0DA6" w14:paraId="6A071FF5" w14:textId="77777777" w:rsidTr="00817BB5">
        <w:trPr>
          <w:trHeight w:val="254"/>
        </w:trPr>
        <w:tc>
          <w:tcPr>
            <w:tcW w:w="3410" w:type="dxa"/>
          </w:tcPr>
          <w:p w14:paraId="206CBB49" w14:textId="5707A17E" w:rsidR="0056179C" w:rsidRPr="004B0DA6" w:rsidRDefault="0056179C" w:rsidP="00203597">
            <w:pPr>
              <w:pStyle w:val="BodyText2"/>
              <w:rPr>
                <w:rFonts w:ascii="Times New Roman" w:hAnsi="Times New Roman" w:cs="Times New Roman"/>
                <w:position w:val="-2"/>
                <w:sz w:val="24"/>
              </w:rPr>
            </w:pPr>
            <w:r w:rsidRPr="004B0DA6">
              <w:rPr>
                <w:rFonts w:ascii="Times New Roman" w:hAnsi="Times New Roman" w:cs="Times New Roman"/>
                <w:position w:val="-2"/>
                <w:sz w:val="24"/>
              </w:rPr>
              <w:t>Government Agency: Federal Home Loan Bank</w:t>
            </w:r>
          </w:p>
        </w:tc>
        <w:tc>
          <w:tcPr>
            <w:tcW w:w="1648" w:type="dxa"/>
            <w:shd w:val="clear" w:color="auto" w:fill="auto"/>
          </w:tcPr>
          <w:p w14:paraId="0659AAFA" w14:textId="77777777" w:rsidR="0056179C" w:rsidRPr="004B0DA6" w:rsidRDefault="0056179C" w:rsidP="00203597">
            <w:pPr>
              <w:pStyle w:val="BodyText2"/>
              <w:rPr>
                <w:rFonts w:ascii="Times New Roman" w:hAnsi="Times New Roman" w:cs="Times New Roman"/>
                <w:position w:val="-2"/>
                <w:sz w:val="24"/>
              </w:rPr>
            </w:pPr>
            <w:r w:rsidRPr="004B0DA6">
              <w:rPr>
                <w:rFonts w:ascii="Times New Roman" w:hAnsi="Times New Roman" w:cs="Times New Roman"/>
                <w:position w:val="-2"/>
                <w:sz w:val="24"/>
              </w:rPr>
              <w:t>Fair Value Level 2</w:t>
            </w:r>
          </w:p>
        </w:tc>
        <w:tc>
          <w:tcPr>
            <w:tcW w:w="1308" w:type="dxa"/>
          </w:tcPr>
          <w:p w14:paraId="3900E8ED" w14:textId="1939C79D" w:rsidR="0056179C" w:rsidRPr="004B0DA6" w:rsidRDefault="0056179C" w:rsidP="00203597">
            <w:pPr>
              <w:pStyle w:val="BodyText2"/>
              <w:jc w:val="right"/>
              <w:rPr>
                <w:rFonts w:ascii="Times New Roman" w:hAnsi="Times New Roman" w:cs="Times New Roman"/>
                <w:position w:val="-2"/>
                <w:sz w:val="24"/>
              </w:rPr>
            </w:pPr>
            <w:r w:rsidRPr="004B0DA6">
              <w:rPr>
                <w:rFonts w:ascii="Times New Roman" w:hAnsi="Times New Roman" w:cs="Times New Roman"/>
                <w:position w:val="-2"/>
                <w:sz w:val="24"/>
              </w:rPr>
              <w:t xml:space="preserve">  </w:t>
            </w:r>
            <w:r w:rsidR="00F01648" w:rsidRPr="004B0DA6">
              <w:rPr>
                <w:rFonts w:ascii="Times New Roman" w:hAnsi="Times New Roman" w:cs="Times New Roman"/>
                <w:position w:val="-2"/>
                <w:sz w:val="24"/>
              </w:rPr>
              <w:t>3</w:t>
            </w:r>
            <w:r w:rsidRPr="004B0DA6">
              <w:rPr>
                <w:rFonts w:ascii="Times New Roman" w:hAnsi="Times New Roman" w:cs="Times New Roman"/>
                <w:position w:val="-2"/>
                <w:sz w:val="24"/>
              </w:rPr>
              <w:t>12,348</w:t>
            </w:r>
          </w:p>
        </w:tc>
        <w:tc>
          <w:tcPr>
            <w:tcW w:w="1697" w:type="dxa"/>
          </w:tcPr>
          <w:p w14:paraId="72F49719" w14:textId="693E2860" w:rsidR="0056179C" w:rsidRPr="004B0DA6" w:rsidRDefault="0056179C" w:rsidP="00203597">
            <w:pPr>
              <w:pStyle w:val="BodyText2"/>
              <w:jc w:val="center"/>
              <w:rPr>
                <w:rFonts w:ascii="Times New Roman" w:hAnsi="Times New Roman" w:cs="Times New Roman"/>
                <w:position w:val="-2"/>
                <w:sz w:val="24"/>
              </w:rPr>
            </w:pPr>
            <w:r w:rsidRPr="004B0DA6">
              <w:rPr>
                <w:rFonts w:ascii="Times New Roman" w:hAnsi="Times New Roman" w:cs="Times New Roman"/>
                <w:position w:val="-2"/>
                <w:sz w:val="24"/>
              </w:rPr>
              <w:t xml:space="preserve"> December 31, </w:t>
            </w:r>
            <w:r w:rsidR="00A85B23" w:rsidRPr="004B0DA6">
              <w:rPr>
                <w:rFonts w:ascii="Times New Roman" w:hAnsi="Times New Roman" w:cs="Times New Roman"/>
                <w:position w:val="-2"/>
                <w:sz w:val="24"/>
              </w:rPr>
              <w:t>202</w:t>
            </w:r>
            <w:r w:rsidR="00537DD4" w:rsidRPr="004B0DA6">
              <w:rPr>
                <w:rFonts w:ascii="Times New Roman" w:hAnsi="Times New Roman" w:cs="Times New Roman"/>
                <w:position w:val="-2"/>
                <w:sz w:val="24"/>
              </w:rPr>
              <w:t>4</w:t>
            </w:r>
          </w:p>
        </w:tc>
        <w:tc>
          <w:tcPr>
            <w:tcW w:w="966" w:type="dxa"/>
          </w:tcPr>
          <w:p w14:paraId="2C559378" w14:textId="77777777" w:rsidR="0056179C" w:rsidRPr="004B0DA6" w:rsidRDefault="0056179C" w:rsidP="00203597">
            <w:pPr>
              <w:pStyle w:val="BodyText2"/>
              <w:jc w:val="center"/>
              <w:rPr>
                <w:rFonts w:ascii="Times New Roman" w:hAnsi="Times New Roman" w:cs="Times New Roman"/>
                <w:position w:val="-2"/>
                <w:sz w:val="24"/>
              </w:rPr>
            </w:pPr>
            <w:r w:rsidRPr="004B0DA6">
              <w:rPr>
                <w:rFonts w:ascii="Times New Roman" w:hAnsi="Times New Roman" w:cs="Times New Roman"/>
                <w:position w:val="-2"/>
                <w:sz w:val="24"/>
              </w:rPr>
              <w:t>AAA</w:t>
            </w:r>
          </w:p>
        </w:tc>
      </w:tr>
      <w:tr w:rsidR="0056179C" w:rsidRPr="004B0DA6" w14:paraId="5B6F7479" w14:textId="77777777" w:rsidTr="00817BB5">
        <w:trPr>
          <w:trHeight w:val="263"/>
        </w:trPr>
        <w:tc>
          <w:tcPr>
            <w:tcW w:w="3410" w:type="dxa"/>
          </w:tcPr>
          <w:p w14:paraId="2E61F124" w14:textId="5ACB50E3" w:rsidR="0056179C" w:rsidRPr="004B0DA6" w:rsidRDefault="00874644" w:rsidP="00203597">
            <w:pPr>
              <w:pStyle w:val="BodyText2"/>
              <w:rPr>
                <w:rFonts w:ascii="Times New Roman" w:hAnsi="Times New Roman" w:cs="Times New Roman"/>
                <w:position w:val="-2"/>
                <w:sz w:val="24"/>
              </w:rPr>
            </w:pPr>
            <w:r w:rsidRPr="004B0DA6">
              <w:rPr>
                <w:rFonts w:ascii="Times New Roman" w:hAnsi="Times New Roman" w:cs="Times New Roman"/>
                <w:position w:val="-2"/>
                <w:sz w:val="24"/>
              </w:rPr>
              <w:t>Urban</w:t>
            </w:r>
            <w:r w:rsidR="00901DF4" w:rsidRPr="004B0DA6">
              <w:rPr>
                <w:rFonts w:ascii="Times New Roman" w:hAnsi="Times New Roman" w:cs="Times New Roman"/>
                <w:position w:val="-2"/>
                <w:sz w:val="24"/>
              </w:rPr>
              <w:t xml:space="preserve"> County Bonds</w:t>
            </w:r>
          </w:p>
        </w:tc>
        <w:tc>
          <w:tcPr>
            <w:tcW w:w="1648" w:type="dxa"/>
          </w:tcPr>
          <w:p w14:paraId="497686E0" w14:textId="77777777" w:rsidR="00901DF4" w:rsidRPr="004B0DA6" w:rsidRDefault="00901DF4" w:rsidP="00203597">
            <w:pPr>
              <w:pStyle w:val="BodyText2"/>
              <w:rPr>
                <w:rFonts w:ascii="Times New Roman" w:hAnsi="Times New Roman" w:cs="Times New Roman"/>
                <w:position w:val="-2"/>
                <w:sz w:val="24"/>
              </w:rPr>
            </w:pPr>
            <w:r w:rsidRPr="004B0DA6">
              <w:rPr>
                <w:rFonts w:ascii="Times New Roman" w:hAnsi="Times New Roman" w:cs="Times New Roman"/>
                <w:position w:val="-2"/>
                <w:sz w:val="24"/>
              </w:rPr>
              <w:t>Fair Value</w:t>
            </w:r>
          </w:p>
          <w:p w14:paraId="2DBE14B8" w14:textId="63210967" w:rsidR="0056179C" w:rsidRPr="004B0DA6" w:rsidRDefault="00901DF4" w:rsidP="00203597">
            <w:pPr>
              <w:pStyle w:val="BodyText2"/>
              <w:rPr>
                <w:rFonts w:ascii="Times New Roman" w:hAnsi="Times New Roman" w:cs="Times New Roman"/>
                <w:position w:val="-2"/>
                <w:sz w:val="24"/>
              </w:rPr>
            </w:pPr>
            <w:r w:rsidRPr="004B0DA6">
              <w:rPr>
                <w:rFonts w:ascii="Times New Roman" w:hAnsi="Times New Roman" w:cs="Times New Roman"/>
                <w:position w:val="-2"/>
                <w:sz w:val="24"/>
              </w:rPr>
              <w:t>Level 1</w:t>
            </w:r>
          </w:p>
        </w:tc>
        <w:tc>
          <w:tcPr>
            <w:tcW w:w="1308" w:type="dxa"/>
          </w:tcPr>
          <w:p w14:paraId="702D9E19" w14:textId="257836C7" w:rsidR="00901DF4" w:rsidRPr="004B0DA6" w:rsidRDefault="00901DF4" w:rsidP="00203597">
            <w:pPr>
              <w:pStyle w:val="BodyText2"/>
              <w:jc w:val="right"/>
              <w:rPr>
                <w:rFonts w:ascii="Times New Roman" w:hAnsi="Times New Roman" w:cs="Times New Roman"/>
                <w:position w:val="-2"/>
                <w:sz w:val="24"/>
              </w:rPr>
            </w:pPr>
            <w:r w:rsidRPr="004B0DA6">
              <w:rPr>
                <w:rFonts w:ascii="Times New Roman" w:hAnsi="Times New Roman" w:cs="Times New Roman"/>
                <w:position w:val="-2"/>
                <w:sz w:val="24"/>
              </w:rPr>
              <w:t>73</w:t>
            </w:r>
            <w:r w:rsidR="00F01648" w:rsidRPr="004B0DA6">
              <w:rPr>
                <w:rFonts w:ascii="Times New Roman" w:hAnsi="Times New Roman" w:cs="Times New Roman"/>
                <w:position w:val="-2"/>
                <w:sz w:val="24"/>
              </w:rPr>
              <w:t>7</w:t>
            </w:r>
            <w:r w:rsidRPr="004B0DA6">
              <w:rPr>
                <w:rFonts w:ascii="Times New Roman" w:hAnsi="Times New Roman" w:cs="Times New Roman"/>
                <w:position w:val="-2"/>
                <w:sz w:val="24"/>
              </w:rPr>
              <w:t>,988</w:t>
            </w:r>
          </w:p>
        </w:tc>
        <w:tc>
          <w:tcPr>
            <w:tcW w:w="1697" w:type="dxa"/>
          </w:tcPr>
          <w:p w14:paraId="21171B52" w14:textId="7CC6F93E" w:rsidR="0056179C" w:rsidRPr="004B0DA6" w:rsidRDefault="004B1DD0" w:rsidP="00203597">
            <w:pPr>
              <w:pStyle w:val="BodyText2"/>
              <w:jc w:val="center"/>
              <w:rPr>
                <w:rFonts w:ascii="Times New Roman" w:hAnsi="Times New Roman" w:cs="Times New Roman"/>
                <w:position w:val="-2"/>
                <w:sz w:val="24"/>
              </w:rPr>
            </w:pPr>
            <w:r w:rsidRPr="004B0DA6">
              <w:rPr>
                <w:rFonts w:ascii="Times New Roman" w:hAnsi="Times New Roman" w:cs="Times New Roman"/>
                <w:position w:val="-2"/>
                <w:sz w:val="24"/>
              </w:rPr>
              <w:t>September 30, 2024</w:t>
            </w:r>
          </w:p>
        </w:tc>
        <w:tc>
          <w:tcPr>
            <w:tcW w:w="966" w:type="dxa"/>
          </w:tcPr>
          <w:p w14:paraId="0E7FE48B" w14:textId="50E0A971" w:rsidR="0056179C" w:rsidRPr="004B0DA6" w:rsidRDefault="004B1DD0" w:rsidP="00203597">
            <w:pPr>
              <w:pStyle w:val="BodyText2"/>
              <w:jc w:val="center"/>
              <w:rPr>
                <w:rFonts w:ascii="Times New Roman" w:hAnsi="Times New Roman" w:cs="Times New Roman"/>
                <w:position w:val="-2"/>
                <w:sz w:val="24"/>
              </w:rPr>
            </w:pPr>
            <w:r w:rsidRPr="004B0DA6">
              <w:rPr>
                <w:rFonts w:ascii="Times New Roman" w:hAnsi="Times New Roman" w:cs="Times New Roman"/>
                <w:position w:val="-2"/>
                <w:sz w:val="24"/>
              </w:rPr>
              <w:t>AAA</w:t>
            </w:r>
          </w:p>
        </w:tc>
      </w:tr>
      <w:tr w:rsidR="00901DF4" w:rsidRPr="004B0DA6" w14:paraId="004BC613" w14:textId="77777777" w:rsidTr="00817BB5">
        <w:trPr>
          <w:trHeight w:val="365"/>
        </w:trPr>
        <w:tc>
          <w:tcPr>
            <w:tcW w:w="3410" w:type="dxa"/>
          </w:tcPr>
          <w:p w14:paraId="5DD426D6" w14:textId="0770EDB9" w:rsidR="00901DF4" w:rsidRPr="004B0DA6" w:rsidRDefault="00901DF4" w:rsidP="00203597">
            <w:pPr>
              <w:pStyle w:val="BodyText2"/>
              <w:rPr>
                <w:rFonts w:ascii="Times New Roman" w:hAnsi="Times New Roman" w:cs="Times New Roman"/>
                <w:position w:val="-2"/>
                <w:sz w:val="24"/>
              </w:rPr>
            </w:pPr>
            <w:r w:rsidRPr="004B0DA6">
              <w:rPr>
                <w:rFonts w:ascii="Times New Roman" w:hAnsi="Times New Roman" w:cs="Times New Roman"/>
                <w:position w:val="-2"/>
                <w:sz w:val="24"/>
              </w:rPr>
              <w:lastRenderedPageBreak/>
              <w:t>NC Capital Management Trust – Government Portfolio</w:t>
            </w:r>
          </w:p>
        </w:tc>
        <w:tc>
          <w:tcPr>
            <w:tcW w:w="1648" w:type="dxa"/>
          </w:tcPr>
          <w:p w14:paraId="683FCDD2" w14:textId="77777777" w:rsidR="00901DF4" w:rsidRPr="004B0DA6" w:rsidRDefault="00901DF4" w:rsidP="00203597">
            <w:pPr>
              <w:pStyle w:val="BodyText2"/>
              <w:rPr>
                <w:rFonts w:ascii="Times New Roman" w:hAnsi="Times New Roman" w:cs="Times New Roman"/>
                <w:position w:val="-2"/>
                <w:sz w:val="24"/>
              </w:rPr>
            </w:pPr>
            <w:r w:rsidRPr="004B0DA6">
              <w:rPr>
                <w:rFonts w:ascii="Times New Roman" w:hAnsi="Times New Roman" w:cs="Times New Roman"/>
                <w:position w:val="-2"/>
                <w:sz w:val="24"/>
              </w:rPr>
              <w:t>Fair Value</w:t>
            </w:r>
          </w:p>
          <w:p w14:paraId="2EE2DAA0" w14:textId="72C7DCCF" w:rsidR="00901DF4" w:rsidRPr="004B0DA6" w:rsidRDefault="00901DF4" w:rsidP="00203597">
            <w:pPr>
              <w:pStyle w:val="BodyText2"/>
              <w:rPr>
                <w:rFonts w:ascii="Times New Roman" w:hAnsi="Times New Roman" w:cs="Times New Roman"/>
                <w:position w:val="-2"/>
                <w:sz w:val="24"/>
              </w:rPr>
            </w:pPr>
            <w:r w:rsidRPr="004B0DA6">
              <w:rPr>
                <w:rFonts w:ascii="Times New Roman" w:hAnsi="Times New Roman" w:cs="Times New Roman"/>
                <w:position w:val="-2"/>
                <w:sz w:val="24"/>
              </w:rPr>
              <w:t>Level 1</w:t>
            </w:r>
          </w:p>
        </w:tc>
        <w:tc>
          <w:tcPr>
            <w:tcW w:w="1308" w:type="dxa"/>
            <w:tcBorders>
              <w:bottom w:val="single" w:sz="4" w:space="0" w:color="auto"/>
            </w:tcBorders>
          </w:tcPr>
          <w:p w14:paraId="4FEA01C4" w14:textId="786EE423" w:rsidR="00901DF4" w:rsidRPr="004B0DA6" w:rsidRDefault="00901DF4" w:rsidP="00203597">
            <w:pPr>
              <w:pStyle w:val="BodyText2"/>
              <w:jc w:val="right"/>
              <w:rPr>
                <w:rFonts w:ascii="Times New Roman" w:hAnsi="Times New Roman" w:cs="Times New Roman"/>
                <w:position w:val="-2"/>
                <w:sz w:val="24"/>
              </w:rPr>
            </w:pPr>
            <w:r w:rsidRPr="004B0DA6">
              <w:rPr>
                <w:rFonts w:ascii="Times New Roman" w:hAnsi="Times New Roman" w:cs="Times New Roman"/>
                <w:position w:val="-2"/>
                <w:sz w:val="24"/>
              </w:rPr>
              <w:t xml:space="preserve">  556,592</w:t>
            </w:r>
          </w:p>
        </w:tc>
        <w:tc>
          <w:tcPr>
            <w:tcW w:w="1697" w:type="dxa"/>
          </w:tcPr>
          <w:p w14:paraId="5F52ADA5" w14:textId="51330521" w:rsidR="00901DF4" w:rsidRPr="004B0DA6" w:rsidRDefault="00901DF4" w:rsidP="00203597">
            <w:pPr>
              <w:pStyle w:val="BodyText2"/>
              <w:jc w:val="center"/>
              <w:rPr>
                <w:rFonts w:ascii="Times New Roman" w:hAnsi="Times New Roman" w:cs="Times New Roman"/>
                <w:position w:val="-2"/>
                <w:sz w:val="24"/>
              </w:rPr>
            </w:pPr>
            <w:r w:rsidRPr="004B0DA6">
              <w:rPr>
                <w:rFonts w:ascii="Times New Roman" w:hAnsi="Times New Roman" w:cs="Times New Roman"/>
                <w:position w:val="-2"/>
                <w:sz w:val="24"/>
              </w:rPr>
              <w:t>N/A</w:t>
            </w:r>
          </w:p>
        </w:tc>
        <w:tc>
          <w:tcPr>
            <w:tcW w:w="966" w:type="dxa"/>
          </w:tcPr>
          <w:p w14:paraId="01DC6CEF" w14:textId="2D58AAEA" w:rsidR="00901DF4" w:rsidRPr="004B0DA6" w:rsidRDefault="00901DF4" w:rsidP="00203597">
            <w:pPr>
              <w:pStyle w:val="BodyText2"/>
              <w:jc w:val="center"/>
              <w:rPr>
                <w:rFonts w:ascii="Times New Roman" w:hAnsi="Times New Roman" w:cs="Times New Roman"/>
                <w:position w:val="-2"/>
                <w:sz w:val="24"/>
              </w:rPr>
            </w:pPr>
            <w:r w:rsidRPr="004B0DA6">
              <w:rPr>
                <w:rFonts w:ascii="Times New Roman" w:hAnsi="Times New Roman" w:cs="Times New Roman"/>
                <w:position w:val="-2"/>
                <w:sz w:val="24"/>
              </w:rPr>
              <w:t>AAAm</w:t>
            </w:r>
          </w:p>
        </w:tc>
      </w:tr>
      <w:tr w:rsidR="00901DF4" w:rsidRPr="004B0DA6" w14:paraId="4F9738B0" w14:textId="77777777" w:rsidTr="00817BB5">
        <w:trPr>
          <w:trHeight w:val="243"/>
        </w:trPr>
        <w:tc>
          <w:tcPr>
            <w:tcW w:w="3410" w:type="dxa"/>
          </w:tcPr>
          <w:p w14:paraId="75FA71B0" w14:textId="77777777" w:rsidR="00901DF4" w:rsidRPr="004B0DA6" w:rsidRDefault="00901DF4" w:rsidP="00203597">
            <w:pPr>
              <w:pStyle w:val="BodyText2"/>
              <w:ind w:left="720"/>
              <w:rPr>
                <w:rFonts w:ascii="Times New Roman" w:hAnsi="Times New Roman" w:cs="Times New Roman"/>
                <w:position w:val="-2"/>
                <w:sz w:val="24"/>
              </w:rPr>
            </w:pPr>
            <w:r w:rsidRPr="004B0DA6">
              <w:rPr>
                <w:rFonts w:ascii="Times New Roman" w:hAnsi="Times New Roman" w:cs="Times New Roman"/>
                <w:position w:val="-2"/>
                <w:sz w:val="24"/>
              </w:rPr>
              <w:t>Total:</w:t>
            </w:r>
          </w:p>
        </w:tc>
        <w:tc>
          <w:tcPr>
            <w:tcW w:w="1648" w:type="dxa"/>
          </w:tcPr>
          <w:p w14:paraId="23E852E9" w14:textId="77777777" w:rsidR="00901DF4" w:rsidRPr="004B0DA6" w:rsidRDefault="00901DF4" w:rsidP="00203597">
            <w:pPr>
              <w:pStyle w:val="BodyText2"/>
              <w:rPr>
                <w:rFonts w:ascii="Times New Roman" w:hAnsi="Times New Roman" w:cs="Times New Roman"/>
                <w:position w:val="-2"/>
                <w:sz w:val="24"/>
              </w:rPr>
            </w:pPr>
          </w:p>
        </w:tc>
        <w:tc>
          <w:tcPr>
            <w:tcW w:w="1308" w:type="dxa"/>
            <w:tcBorders>
              <w:top w:val="single" w:sz="4" w:space="0" w:color="auto"/>
              <w:bottom w:val="double" w:sz="4" w:space="0" w:color="auto"/>
            </w:tcBorders>
          </w:tcPr>
          <w:p w14:paraId="75534A6D" w14:textId="6C8A916C" w:rsidR="00901DF4" w:rsidRPr="004B0DA6" w:rsidRDefault="00901DF4" w:rsidP="00203597">
            <w:pPr>
              <w:pStyle w:val="BodyText2"/>
              <w:jc w:val="right"/>
              <w:rPr>
                <w:rFonts w:ascii="Times New Roman" w:hAnsi="Times New Roman" w:cs="Times New Roman"/>
                <w:position w:val="-2"/>
                <w:sz w:val="24"/>
              </w:rPr>
            </w:pPr>
            <w:r w:rsidRPr="004B0DA6">
              <w:rPr>
                <w:rFonts w:ascii="Times New Roman" w:hAnsi="Times New Roman" w:cs="Times New Roman"/>
                <w:position w:val="-2"/>
                <w:sz w:val="24"/>
              </w:rPr>
              <w:t>$</w:t>
            </w:r>
            <w:r w:rsidR="00F01648" w:rsidRPr="004B0DA6">
              <w:rPr>
                <w:rFonts w:ascii="Times New Roman" w:hAnsi="Times New Roman" w:cs="Times New Roman"/>
                <w:position w:val="-2"/>
                <w:sz w:val="24"/>
              </w:rPr>
              <w:t>2</w:t>
            </w:r>
            <w:r w:rsidRPr="004B0DA6">
              <w:rPr>
                <w:rFonts w:ascii="Times New Roman" w:hAnsi="Times New Roman" w:cs="Times New Roman"/>
                <w:position w:val="-2"/>
                <w:sz w:val="24"/>
              </w:rPr>
              <w:t>,</w:t>
            </w:r>
            <w:r w:rsidR="00F01648" w:rsidRPr="004B0DA6">
              <w:rPr>
                <w:rFonts w:ascii="Times New Roman" w:hAnsi="Times New Roman" w:cs="Times New Roman"/>
                <w:position w:val="-2"/>
                <w:sz w:val="24"/>
              </w:rPr>
              <w:t>165</w:t>
            </w:r>
            <w:r w:rsidRPr="004B0DA6">
              <w:rPr>
                <w:rFonts w:ascii="Times New Roman" w:hAnsi="Times New Roman" w:cs="Times New Roman"/>
                <w:position w:val="-2"/>
                <w:sz w:val="24"/>
              </w:rPr>
              <w:t>,</w:t>
            </w:r>
            <w:r w:rsidR="00F01648" w:rsidRPr="004B0DA6">
              <w:rPr>
                <w:rFonts w:ascii="Times New Roman" w:hAnsi="Times New Roman" w:cs="Times New Roman"/>
                <w:position w:val="-2"/>
                <w:sz w:val="24"/>
              </w:rPr>
              <w:t>866</w:t>
            </w:r>
            <w:r w:rsidRPr="004B0DA6">
              <w:rPr>
                <w:rFonts w:ascii="Times New Roman" w:hAnsi="Times New Roman" w:cs="Times New Roman"/>
                <w:position w:val="-2"/>
                <w:sz w:val="24"/>
              </w:rPr>
              <w:t xml:space="preserve">  </w:t>
            </w:r>
          </w:p>
        </w:tc>
        <w:tc>
          <w:tcPr>
            <w:tcW w:w="1697" w:type="dxa"/>
          </w:tcPr>
          <w:p w14:paraId="175B1FD3" w14:textId="201A2F6F" w:rsidR="00901DF4" w:rsidRPr="004B0DA6" w:rsidRDefault="00901DF4" w:rsidP="00203597">
            <w:pPr>
              <w:pStyle w:val="BodyText2"/>
              <w:rPr>
                <w:rFonts w:ascii="Times New Roman" w:hAnsi="Times New Roman" w:cs="Times New Roman"/>
                <w:position w:val="-2"/>
                <w:sz w:val="24"/>
              </w:rPr>
            </w:pPr>
          </w:p>
        </w:tc>
        <w:tc>
          <w:tcPr>
            <w:tcW w:w="966" w:type="dxa"/>
          </w:tcPr>
          <w:p w14:paraId="1DE0AE9B" w14:textId="77777777" w:rsidR="00901DF4" w:rsidRPr="004B0DA6" w:rsidRDefault="00901DF4" w:rsidP="00203597">
            <w:pPr>
              <w:pStyle w:val="BodyText2"/>
              <w:rPr>
                <w:rFonts w:ascii="Times New Roman" w:hAnsi="Times New Roman" w:cs="Times New Roman"/>
                <w:position w:val="-2"/>
                <w:sz w:val="24"/>
              </w:rPr>
            </w:pPr>
          </w:p>
        </w:tc>
      </w:tr>
    </w:tbl>
    <w:p w14:paraId="7766A39B" w14:textId="77777777" w:rsidR="0056179C" w:rsidRPr="004B0DA6" w:rsidRDefault="0056179C" w:rsidP="00203597">
      <w:pPr>
        <w:pStyle w:val="BodyText2"/>
        <w:rPr>
          <w:rFonts w:ascii="Times New Roman" w:hAnsi="Times New Roman" w:cs="Times New Roman"/>
          <w:position w:val="-2"/>
          <w:sz w:val="22"/>
          <w:szCs w:val="22"/>
        </w:rPr>
      </w:pPr>
    </w:p>
    <w:p w14:paraId="379F7230" w14:textId="77777777" w:rsidR="0056179C" w:rsidRPr="004B0DA6" w:rsidRDefault="0056179C" w:rsidP="00203597">
      <w:pPr>
        <w:pStyle w:val="BodyText2"/>
        <w:jc w:val="both"/>
        <w:rPr>
          <w:rFonts w:ascii="Times New Roman" w:hAnsi="Times New Roman" w:cs="Times New Roman"/>
          <w:position w:val="-2"/>
          <w:sz w:val="24"/>
        </w:rPr>
      </w:pPr>
      <w:r w:rsidRPr="004B0DA6">
        <w:rPr>
          <w:rFonts w:ascii="Times New Roman" w:hAnsi="Times New Roman" w:cs="Times New Roman"/>
          <w:position w:val="-2"/>
          <w:sz w:val="24"/>
        </w:rPr>
        <w:t xml:space="preserve">All investments are measured using the market approach: using prices and other relevant information generated by market transactions involving identical or comparable assets or a group of assets.  </w:t>
      </w:r>
    </w:p>
    <w:p w14:paraId="25EE33EF" w14:textId="77777777" w:rsidR="003411A5" w:rsidRPr="004B0DA6" w:rsidRDefault="003411A5" w:rsidP="00203597">
      <w:pPr>
        <w:pStyle w:val="BodyText2"/>
        <w:jc w:val="both"/>
        <w:rPr>
          <w:rFonts w:ascii="Times New Roman" w:hAnsi="Times New Roman" w:cs="Times New Roman"/>
          <w:position w:val="-2"/>
          <w:sz w:val="24"/>
        </w:rPr>
      </w:pPr>
    </w:p>
    <w:p w14:paraId="7AEC5F18" w14:textId="77777777" w:rsidR="0056179C" w:rsidRPr="004B0DA6" w:rsidRDefault="0056179C" w:rsidP="00203597">
      <w:pPr>
        <w:pStyle w:val="BodyText2"/>
        <w:jc w:val="both"/>
        <w:rPr>
          <w:rFonts w:ascii="Times New Roman" w:hAnsi="Times New Roman" w:cs="Times New Roman"/>
          <w:position w:val="-2"/>
          <w:sz w:val="24"/>
        </w:rPr>
      </w:pPr>
      <w:r w:rsidRPr="004B0DA6">
        <w:rPr>
          <w:rFonts w:ascii="Times New Roman" w:hAnsi="Times New Roman" w:cs="Times New Roman"/>
          <w:position w:val="-2"/>
          <w:sz w:val="24"/>
        </w:rPr>
        <w:t xml:space="preserve">Level of fair value hierarchy: Level 1 debt securities are valued using directly observable, quoted prices (unadjusted) in active markets for identical assets. Level 2 debt securities are valued using a matrix pricing technique. Matrix pricing is used to value securities based on the securities’ benchmark quoted prices. </w:t>
      </w:r>
    </w:p>
    <w:p w14:paraId="59091CBE" w14:textId="77777777" w:rsidR="0056179C" w:rsidRPr="004B0DA6" w:rsidRDefault="0056179C" w:rsidP="00203597">
      <w:pPr>
        <w:pStyle w:val="BodyText2"/>
        <w:rPr>
          <w:rFonts w:ascii="Times New Roman" w:hAnsi="Times New Roman" w:cs="Times New Roman"/>
          <w:b/>
          <w:i/>
          <w:sz w:val="23"/>
          <w:szCs w:val="23"/>
          <w:vertAlign w:val="superscript"/>
        </w:rPr>
      </w:pPr>
    </w:p>
    <w:p w14:paraId="5E01EFD5" w14:textId="77777777" w:rsidR="0056179C" w:rsidRPr="004B0DA6" w:rsidRDefault="0056179C" w:rsidP="00203597">
      <w:pPr>
        <w:spacing w:after="0"/>
        <w:jc w:val="both"/>
        <w:rPr>
          <w:rFonts w:ascii="Times New Roman" w:hAnsi="Times New Roman" w:cs="Times New Roman"/>
          <w:sz w:val="24"/>
          <w:szCs w:val="24"/>
        </w:rPr>
      </w:pPr>
      <w:r w:rsidRPr="004B0DA6">
        <w:rPr>
          <w:rFonts w:ascii="Times New Roman" w:eastAsia="Arial Unicode MS" w:hAnsi="Times New Roman" w:cs="Times New Roman"/>
          <w:i/>
          <w:sz w:val="24"/>
          <w:szCs w:val="24"/>
        </w:rPr>
        <w:t>Interest Rate Risk.</w:t>
      </w:r>
      <w:r w:rsidRPr="004B0DA6">
        <w:rPr>
          <w:rFonts w:ascii="Times New Roman" w:eastAsia="Arial Unicode MS" w:hAnsi="Times New Roman" w:cs="Times New Roman"/>
          <w:sz w:val="24"/>
          <w:szCs w:val="24"/>
        </w:rPr>
        <w:t xml:space="preserve"> The City has no formal investment policy regarding interest rate risk.  As a means of limiting its exposure to fair value losses arising from rising interest rates, the City’s internal </w:t>
      </w:r>
      <w:r w:rsidRPr="004B0DA6">
        <w:rPr>
          <w:rFonts w:ascii="Times New Roman" w:hAnsi="Times New Roman" w:cs="Times New Roman"/>
          <w:sz w:val="24"/>
          <w:szCs w:val="24"/>
        </w:rPr>
        <w:t>investment policy limits at least half of the City’s investment portfolio to maturities of less than 12 months. Also, the City’s internal management policy requires purchases of securities to be laddered with staggered maturity dates and limits all securities to a final maturity of no more than two years.</w:t>
      </w:r>
    </w:p>
    <w:p w14:paraId="0B5AAD34" w14:textId="5B591AB2" w:rsidR="00024EC3" w:rsidRPr="004B0DA6" w:rsidRDefault="00024EC3" w:rsidP="00203597">
      <w:pPr>
        <w:spacing w:after="0"/>
        <w:rPr>
          <w:rFonts w:ascii="Times New Roman" w:hAnsi="Times New Roman" w:cs="Times New Roman"/>
          <w:sz w:val="23"/>
          <w:szCs w:val="23"/>
        </w:rPr>
      </w:pPr>
    </w:p>
    <w:p w14:paraId="30B349CE" w14:textId="77777777" w:rsidR="0056179C" w:rsidRPr="004B0DA6" w:rsidRDefault="0056179C" w:rsidP="00203597">
      <w:pPr>
        <w:pBdr>
          <w:top w:val="thinThickThinSmallGap" w:sz="24" w:space="1" w:color="auto"/>
          <w:left w:val="thinThickThinSmallGap" w:sz="24" w:space="0" w:color="auto"/>
          <w:bottom w:val="thinThickThinSmallGap" w:sz="24" w:space="1" w:color="auto"/>
          <w:right w:val="thin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b/>
          <w:sz w:val="24"/>
          <w:szCs w:val="24"/>
        </w:rPr>
        <w:t>Note to preparer:</w:t>
      </w:r>
      <w:r w:rsidRPr="004B0DA6">
        <w:rPr>
          <w:rFonts w:ascii="Times New Roman" w:hAnsi="Times New Roman" w:cs="Times New Roman"/>
          <w:sz w:val="24"/>
          <w:szCs w:val="24"/>
        </w:rPr>
        <w:t xml:space="preserve"> The investment policy used by the unit to manage interest rate risk should be included in the notes. If the unit does not have a Board approved policy, a statement to the effect that “the unit does not have a formal investment policy” should be made. See Carolina County Board of Education for an example.</w:t>
      </w:r>
    </w:p>
    <w:p w14:paraId="077DAD79" w14:textId="109FC7DD" w:rsidR="0056179C" w:rsidRPr="004B0DA6" w:rsidRDefault="0056179C" w:rsidP="00203597">
      <w:pPr>
        <w:pBdr>
          <w:top w:val="thinThickThinSmallGap" w:sz="24" w:space="1" w:color="auto"/>
          <w:left w:val="thinThickThinSmallGap" w:sz="24" w:space="0" w:color="auto"/>
          <w:bottom w:val="thinThickThinSmallGap" w:sz="24" w:space="1" w:color="auto"/>
          <w:right w:val="thin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sz w:val="24"/>
          <w:szCs w:val="24"/>
        </w:rPr>
        <w:t>When fair value measurements are used in determining the amounts recognized in the financial statements, GASB Statement No. 72 requires additional disclosures to be made in the notes about fair value measurements, the level of fair value hierarchy, and valuation techniques.  Governments should organize these disclosures by type of asset or liability reported at fair value.  The statement also requires additional disclosures regarding investments in certain entities that calculate net asset value per share (or its equivalent).</w:t>
      </w:r>
      <w:r w:rsidR="00537DD4" w:rsidRPr="004B0DA6">
        <w:rPr>
          <w:rFonts w:ascii="Times New Roman" w:hAnsi="Times New Roman" w:cs="Times New Roman"/>
          <w:sz w:val="24"/>
          <w:szCs w:val="24"/>
        </w:rPr>
        <w:t xml:space="preserve"> </w:t>
      </w:r>
      <w:r w:rsidR="00537DD4" w:rsidRPr="004B0DA6">
        <w:rPr>
          <w:rFonts w:ascii="Times New Roman" w:hAnsi="Times New Roman" w:cs="Times New Roman"/>
          <w:sz w:val="24"/>
          <w:szCs w:val="24"/>
          <w:highlight w:val="yellow"/>
        </w:rPr>
        <w:t>For more details on GASBS 72 please</w:t>
      </w:r>
      <w:r w:rsidR="00537DD4" w:rsidRPr="004B0DA6">
        <w:rPr>
          <w:rFonts w:ascii="Times New Roman" w:hAnsi="Times New Roman" w:cs="Times New Roman"/>
          <w:sz w:val="24"/>
          <w:szCs w:val="24"/>
        </w:rPr>
        <w:t xml:space="preserve"> </w:t>
      </w:r>
      <w:r w:rsidR="00537DD4" w:rsidRPr="004B0DA6">
        <w:rPr>
          <w:rFonts w:ascii="Times New Roman" w:hAnsi="Times New Roman" w:cs="Times New Roman"/>
          <w:sz w:val="24"/>
          <w:szCs w:val="24"/>
          <w:highlight w:val="yellow"/>
        </w:rPr>
        <w:t xml:space="preserve">review </w:t>
      </w:r>
      <w:r w:rsidRPr="004B0DA6">
        <w:rPr>
          <w:rFonts w:ascii="Times New Roman" w:hAnsi="Times New Roman" w:cs="Times New Roman"/>
          <w:sz w:val="24"/>
          <w:szCs w:val="24"/>
          <w:highlight w:val="yellow"/>
        </w:rPr>
        <w:t xml:space="preserve"> </w:t>
      </w:r>
      <w:hyperlink r:id="rId21" w:history="1">
        <w:r w:rsidR="00537DD4" w:rsidRPr="004B0DA6">
          <w:rPr>
            <w:rFonts w:ascii="Times New Roman" w:hAnsi="Times New Roman" w:cs="Times New Roman"/>
            <w:color w:val="0000FF"/>
            <w:sz w:val="24"/>
            <w:szCs w:val="24"/>
            <w:highlight w:val="yellow"/>
            <w:u w:val="single"/>
          </w:rPr>
          <w:t>Memorandum #2016-05 GASB Statement 72, Fair Value Measurement and Application</w:t>
        </w:r>
      </w:hyperlink>
    </w:p>
    <w:p w14:paraId="27EA4EA2" w14:textId="2B4328C2" w:rsidR="0056179C" w:rsidRPr="004B0DA6" w:rsidRDefault="0056179C" w:rsidP="00203597">
      <w:pPr>
        <w:spacing w:after="0"/>
        <w:rPr>
          <w:rFonts w:ascii="Times New Roman" w:hAnsi="Times New Roman" w:cs="Times New Roman"/>
          <w:sz w:val="24"/>
        </w:rPr>
      </w:pPr>
    </w:p>
    <w:p w14:paraId="45ED2EA7" w14:textId="5CC32CB8" w:rsidR="0056179C" w:rsidRPr="004B0DA6" w:rsidRDefault="0056179C" w:rsidP="00203597">
      <w:pPr>
        <w:pStyle w:val="BodyText2"/>
        <w:jc w:val="both"/>
        <w:rPr>
          <w:rFonts w:ascii="Times New Roman" w:hAnsi="Times New Roman" w:cs="Times New Roman"/>
          <w:sz w:val="24"/>
        </w:rPr>
      </w:pPr>
      <w:r w:rsidRPr="004B0DA6">
        <w:rPr>
          <w:rFonts w:ascii="Times New Roman" w:hAnsi="Times New Roman" w:cs="Times New Roman"/>
          <w:i/>
          <w:sz w:val="24"/>
        </w:rPr>
        <w:t>Credit risk</w:t>
      </w:r>
      <w:r w:rsidRPr="004B0DA6">
        <w:rPr>
          <w:rFonts w:ascii="Times New Roman" w:hAnsi="Times New Roman" w:cs="Times New Roman"/>
          <w:sz w:val="24"/>
        </w:rPr>
        <w:t>. The City has no formal policy regarding credit risk but has internal management procedures that limits the City’s investments to the provisions of G.S. 159-30 and restricts the purchase of securities to the highest possible ratings whenever particular types of securities are rated. The investment in the Federal Home Loan Bank is rated AAA</w:t>
      </w:r>
      <w:r w:rsidR="00910EB5" w:rsidRPr="004B0DA6">
        <w:rPr>
          <w:rFonts w:ascii="Times New Roman" w:hAnsi="Times New Roman" w:cs="Times New Roman"/>
          <w:sz w:val="24"/>
        </w:rPr>
        <w:t>m</w:t>
      </w:r>
      <w:r w:rsidRPr="004B0DA6">
        <w:rPr>
          <w:rFonts w:ascii="Times New Roman" w:hAnsi="Times New Roman" w:cs="Times New Roman"/>
          <w:sz w:val="24"/>
        </w:rPr>
        <w:t xml:space="preserve"> by Standard and Poor’s and AAA</w:t>
      </w:r>
      <w:r w:rsidR="00F26DAF" w:rsidRPr="004B0DA6">
        <w:rPr>
          <w:rFonts w:ascii="Times New Roman" w:hAnsi="Times New Roman" w:cs="Times New Roman"/>
          <w:sz w:val="24"/>
        </w:rPr>
        <w:t>-mf</w:t>
      </w:r>
      <w:r w:rsidRPr="004B0DA6">
        <w:rPr>
          <w:rFonts w:ascii="Times New Roman" w:hAnsi="Times New Roman" w:cs="Times New Roman"/>
          <w:sz w:val="24"/>
        </w:rPr>
        <w:t xml:space="preserve"> by Moody’s Investors Service.</w:t>
      </w:r>
      <w:r w:rsidR="000E1708" w:rsidRPr="004B0DA6">
        <w:rPr>
          <w:rFonts w:ascii="Times New Roman" w:hAnsi="Times New Roman" w:cs="Times New Roman"/>
          <w:sz w:val="24"/>
        </w:rPr>
        <w:t xml:space="preserve"> The City’s investment in </w:t>
      </w:r>
      <w:r w:rsidR="00874644" w:rsidRPr="004B0DA6">
        <w:rPr>
          <w:rFonts w:ascii="Times New Roman" w:hAnsi="Times New Roman" w:cs="Times New Roman"/>
          <w:sz w:val="24"/>
        </w:rPr>
        <w:t>Urban</w:t>
      </w:r>
      <w:r w:rsidR="000E1708" w:rsidRPr="004B0DA6">
        <w:rPr>
          <w:rFonts w:ascii="Times New Roman" w:hAnsi="Times New Roman" w:cs="Times New Roman"/>
          <w:sz w:val="24"/>
        </w:rPr>
        <w:t xml:space="preserve"> County Bonds is rated AAA by Standard and Poor’s and Aaa by Moody’s Investor Services.</w:t>
      </w:r>
      <w:r w:rsidRPr="004B0DA6">
        <w:rPr>
          <w:rFonts w:ascii="Times New Roman" w:hAnsi="Times New Roman" w:cs="Times New Roman"/>
          <w:sz w:val="24"/>
        </w:rPr>
        <w:t xml:space="preserve"> The City’s investment in the NC Capital Management Trust Government Portfolio carried a credit rating of AAA</w:t>
      </w:r>
      <w:r w:rsidR="00910EB5" w:rsidRPr="004B0DA6">
        <w:rPr>
          <w:rFonts w:ascii="Times New Roman" w:hAnsi="Times New Roman" w:cs="Times New Roman"/>
          <w:sz w:val="24"/>
        </w:rPr>
        <w:t>m</w:t>
      </w:r>
      <w:r w:rsidRPr="004B0DA6">
        <w:rPr>
          <w:rFonts w:ascii="Times New Roman" w:hAnsi="Times New Roman" w:cs="Times New Roman"/>
          <w:sz w:val="24"/>
        </w:rPr>
        <w:t xml:space="preserve"> by Standard &amp; Poor’s </w:t>
      </w:r>
      <w:r w:rsidR="0004624E" w:rsidRPr="004B0DA6">
        <w:rPr>
          <w:rFonts w:ascii="Times New Roman" w:hAnsi="Times New Roman" w:cs="Times New Roman"/>
          <w:sz w:val="24"/>
        </w:rPr>
        <w:t xml:space="preserve">and AAA-mf by Moody’s Investors Service </w:t>
      </w:r>
      <w:r w:rsidRPr="004B0DA6">
        <w:rPr>
          <w:rFonts w:ascii="Times New Roman" w:hAnsi="Times New Roman" w:cs="Times New Roman"/>
          <w:sz w:val="24"/>
        </w:rPr>
        <w:t xml:space="preserve">as of June 30, </w:t>
      </w:r>
      <w:r w:rsidR="00A85B23" w:rsidRPr="004B0DA6">
        <w:rPr>
          <w:rFonts w:ascii="Times New Roman" w:hAnsi="Times New Roman" w:cs="Times New Roman"/>
          <w:sz w:val="24"/>
        </w:rPr>
        <w:t>202</w:t>
      </w:r>
      <w:r w:rsidR="00537DD4" w:rsidRPr="004B0DA6">
        <w:rPr>
          <w:rFonts w:ascii="Times New Roman" w:hAnsi="Times New Roman" w:cs="Times New Roman"/>
          <w:sz w:val="24"/>
        </w:rPr>
        <w:t>4</w:t>
      </w:r>
      <w:r w:rsidRPr="004B0DA6">
        <w:rPr>
          <w:rFonts w:ascii="Times New Roman" w:hAnsi="Times New Roman" w:cs="Times New Roman"/>
          <w:sz w:val="24"/>
        </w:rPr>
        <w:t xml:space="preserve">. </w:t>
      </w:r>
    </w:p>
    <w:p w14:paraId="6A82D435" w14:textId="52796948" w:rsidR="0056179C" w:rsidRPr="004B0DA6" w:rsidRDefault="001F4EC6" w:rsidP="00203597">
      <w:pPr>
        <w:pStyle w:val="BodyText2"/>
        <w:rPr>
          <w:rFonts w:ascii="Times New Roman" w:hAnsi="Times New Roman" w:cs="Times New Roman"/>
          <w:sz w:val="23"/>
          <w:szCs w:val="23"/>
        </w:rPr>
      </w:pPr>
      <w:r w:rsidRPr="004B0DA6">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32CA11B7" wp14:editId="7A7AC235">
                <wp:simplePos x="0" y="0"/>
                <wp:positionH relativeFrom="margin">
                  <wp:posOffset>-8890</wp:posOffset>
                </wp:positionH>
                <wp:positionV relativeFrom="paragraph">
                  <wp:posOffset>35560</wp:posOffset>
                </wp:positionV>
                <wp:extent cx="5886450" cy="1333500"/>
                <wp:effectExtent l="19050" t="19050" r="19050" b="19050"/>
                <wp:wrapNone/>
                <wp:docPr id="1438880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333500"/>
                        </a:xfrm>
                        <a:prstGeom prst="rect">
                          <a:avLst/>
                        </a:prstGeom>
                        <a:solidFill>
                          <a:srgbClr val="FFFFFF"/>
                        </a:solidFill>
                        <a:ln w="57150" cmpd="thinThick">
                          <a:solidFill>
                            <a:srgbClr val="000000"/>
                          </a:solidFill>
                          <a:miter lim="800000"/>
                          <a:headEnd/>
                          <a:tailEnd/>
                        </a:ln>
                      </wps:spPr>
                      <wps:txbx>
                        <w:txbxContent>
                          <w:p w14:paraId="4C28A623" w14:textId="606BB68A" w:rsidR="00D14921" w:rsidRPr="006F18E5" w:rsidRDefault="00D14921" w:rsidP="0056179C">
                            <w:pPr>
                              <w:jc w:val="both"/>
                              <w:rPr>
                                <w:rFonts w:ascii="Times New Roman" w:hAnsi="Times New Roman" w:cs="Times New Roman"/>
                                <w:sz w:val="24"/>
                                <w:szCs w:val="24"/>
                              </w:rPr>
                            </w:pPr>
                            <w:r w:rsidRPr="000E1708">
                              <w:rPr>
                                <w:rFonts w:ascii="Times New Roman" w:hAnsi="Times New Roman" w:cs="Times New Roman"/>
                                <w:b/>
                                <w:sz w:val="24"/>
                                <w:szCs w:val="24"/>
                              </w:rPr>
                              <w:t>Note to preparer:</w:t>
                            </w:r>
                            <w:r w:rsidRPr="000E1708">
                              <w:rPr>
                                <w:rFonts w:ascii="Times New Roman" w:hAnsi="Times New Roman" w:cs="Times New Roman"/>
                                <w:sz w:val="24"/>
                                <w:szCs w:val="24"/>
                              </w:rPr>
                              <w:t xml:space="preserve">  Credit risk must be disclosed for the North Carolina Capital Management Trust for the Government Portfolio. If the unit does not have any investment in the Government Portfolio, the respective sentences should be omitted. Repurchase agreements are omitted because underlying securities (Treasuries &amp; GNMA) are exempt. Treasuries are also exempt from credit risk disclosure.  See Carolina County for an example of a formal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A11B7" id="Text Box 3" o:spid="_x0000_s1028" type="#_x0000_t202" style="position:absolute;margin-left:-.7pt;margin-top:2.8pt;width:463.5pt;height:1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nu0JgIAAEUEAAAOAAAAZHJzL2Uyb0RvYy54bWysU9tu2zAMfR+wfxD0vti5tZkRp+jSZRjQ&#10;XYB2HyDLsi1UEjVJid19fSk5TYNuexmmB0EUpUOeQ3J9NWhFDsJ5Caak00lOiTAcamnakv64371b&#10;UeIDMzVTYERJH4WnV5u3b9a9LcQMOlC1cARBjC96W9IuBFtkmeed0MxPwAqDzgacZgFN12a1Yz2i&#10;a5XN8vwi68HV1gEX3uPtzeikm4TfNIKHb03jRSCqpJhbSLtLexX3bLNmReuY7SQ/psH+IQvNpMGg&#10;J6gbFhjZO/kblJbcgYcmTDjoDJpGcpE4IJtp/orNXcesSFxQHG9PMvn/B8u/Hu7sd0fC8AEGLGAi&#10;4e0t8AdPDGw7Zlpx7Rz0nWA1Bp5GybLe+uL4NUrtCx9Bqv4L1Fhktg+QgIbG6agK8iSIjgV4PIku&#10;hkA4Xi5Xq4vFEl0cfdP5fL7MU1kyVjx/t86HTwI0iYeSOqxqgmeHWx9iOqx4fhKjeVCy3kmlkuHa&#10;aqscOTDsgF1aicGrZ8qQHnO5nKZMtK1LGjpp7rEtHkZN/gqap/UnUC0DNreSuqSr0yNWRCU/mjq1&#10;XmBSjWckocxR2qjmqGsYqoFIzGYWA0SlK6gfUWsHYy/j7OGhA/eLkh77uKT+5545QYn6bLBe76eL&#10;RWz8ZCyWlzM03LmnOvcwwxEKuVMyHrdhHJa9dbLtMNLYIQauscaNTOq/ZHVMH3s1FeU4V3EYzu30&#10;6mX6N08AAAD//wMAUEsDBBQABgAIAAAAIQBAvihI2wAAAAgBAAAPAAAAZHJzL2Rvd25yZXYueG1s&#10;TI/BbsIwEETvlfoP1iL1Bk4iQBDiIFSpPVYqcOjRibexRbyOYgPp33c5tbdZzWj2TbWffC9uOEYX&#10;SEG+yEAgtcE46hScT2/zDYiYNBndB0IFPxhhXz8/Vbo04U6feDumTnAJxVIrsCkNpZSxteh1XIQB&#10;ib3vMHqd+Bw7aUZ953LfyyLL1tJrR/zB6gFfLbaX49UruBzaE65k2myt+1g2X++RJheVeplNhx2I&#10;hFP6C8MDn9GhZqYmXMlE0SuY50tOKlitQbC9LR6iUVDkLGRdyf8D6l8AAAD//wMAUEsBAi0AFAAG&#10;AAgAAAAhALaDOJL+AAAA4QEAABMAAAAAAAAAAAAAAAAAAAAAAFtDb250ZW50X1R5cGVzXS54bWxQ&#10;SwECLQAUAAYACAAAACEAOP0h/9YAAACUAQAACwAAAAAAAAAAAAAAAAAvAQAAX3JlbHMvLnJlbHNQ&#10;SwECLQAUAAYACAAAACEArQ57tCYCAABFBAAADgAAAAAAAAAAAAAAAAAuAgAAZHJzL2Uyb0RvYy54&#10;bWxQSwECLQAUAAYACAAAACEAQL4oSNsAAAAIAQAADwAAAAAAAAAAAAAAAACABAAAZHJzL2Rvd25y&#10;ZXYueG1sUEsFBgAAAAAEAAQA8wAAAIgFAAAAAA==&#10;" strokeweight="4.5pt">
                <v:stroke linestyle="thinThick"/>
                <v:textbox>
                  <w:txbxContent>
                    <w:p w14:paraId="4C28A623" w14:textId="606BB68A" w:rsidR="00D14921" w:rsidRPr="006F18E5" w:rsidRDefault="00D14921" w:rsidP="0056179C">
                      <w:pPr>
                        <w:jc w:val="both"/>
                        <w:rPr>
                          <w:rFonts w:ascii="Times New Roman" w:hAnsi="Times New Roman" w:cs="Times New Roman"/>
                          <w:sz w:val="24"/>
                          <w:szCs w:val="24"/>
                        </w:rPr>
                      </w:pPr>
                      <w:r w:rsidRPr="000E1708">
                        <w:rPr>
                          <w:rFonts w:ascii="Times New Roman" w:hAnsi="Times New Roman" w:cs="Times New Roman"/>
                          <w:b/>
                          <w:sz w:val="24"/>
                          <w:szCs w:val="24"/>
                        </w:rPr>
                        <w:t>Note to preparer:</w:t>
                      </w:r>
                      <w:r w:rsidRPr="000E1708">
                        <w:rPr>
                          <w:rFonts w:ascii="Times New Roman" w:hAnsi="Times New Roman" w:cs="Times New Roman"/>
                          <w:sz w:val="24"/>
                          <w:szCs w:val="24"/>
                        </w:rPr>
                        <w:t xml:space="preserve">  Credit risk must be disclosed for the North Carolina Capital Management Trust for the Government Portfolio. If the unit does not have any investment in the Government Portfolio, the respective sentences should be omitted. Repurchase agreements are omitted because underlying securities (Treasuries &amp; GNMA) are exempt. Treasuries are also exempt from credit risk disclosure.  See Carolina County for an example of a formal policy.</w:t>
                      </w:r>
                    </w:p>
                  </w:txbxContent>
                </v:textbox>
                <w10:wrap anchorx="margin"/>
              </v:shape>
            </w:pict>
          </mc:Fallback>
        </mc:AlternateContent>
      </w:r>
    </w:p>
    <w:p w14:paraId="3813EAD1" w14:textId="77777777" w:rsidR="0056179C" w:rsidRPr="004B0DA6" w:rsidRDefault="0056179C" w:rsidP="00203597">
      <w:pPr>
        <w:pStyle w:val="BodyText2"/>
        <w:rPr>
          <w:rFonts w:ascii="Times New Roman" w:hAnsi="Times New Roman" w:cs="Times New Roman"/>
          <w:sz w:val="23"/>
          <w:szCs w:val="23"/>
        </w:rPr>
      </w:pPr>
    </w:p>
    <w:p w14:paraId="6F242D8A" w14:textId="77777777" w:rsidR="0056179C" w:rsidRPr="004B0DA6" w:rsidRDefault="0056179C" w:rsidP="00203597">
      <w:pPr>
        <w:pStyle w:val="BodyText2"/>
        <w:rPr>
          <w:rFonts w:ascii="Times New Roman" w:hAnsi="Times New Roman" w:cs="Times New Roman"/>
          <w:sz w:val="23"/>
          <w:szCs w:val="23"/>
        </w:rPr>
      </w:pPr>
    </w:p>
    <w:p w14:paraId="59F3EA43" w14:textId="77777777" w:rsidR="0056179C" w:rsidRPr="004B0DA6" w:rsidRDefault="0056179C" w:rsidP="00203597">
      <w:pPr>
        <w:pStyle w:val="BodyText2"/>
        <w:rPr>
          <w:rFonts w:ascii="Times New Roman" w:hAnsi="Times New Roman" w:cs="Times New Roman"/>
          <w:sz w:val="23"/>
          <w:szCs w:val="23"/>
        </w:rPr>
      </w:pPr>
    </w:p>
    <w:p w14:paraId="7D6EF22A" w14:textId="77777777" w:rsidR="0056179C" w:rsidRPr="004B0DA6" w:rsidRDefault="0056179C" w:rsidP="00203597">
      <w:pPr>
        <w:pStyle w:val="BodyText2"/>
        <w:rPr>
          <w:rFonts w:ascii="Times New Roman" w:hAnsi="Times New Roman" w:cs="Times New Roman"/>
          <w:sz w:val="23"/>
          <w:szCs w:val="23"/>
        </w:rPr>
      </w:pPr>
    </w:p>
    <w:p w14:paraId="15D9BE1E" w14:textId="77777777" w:rsidR="000A23D5" w:rsidRPr="004B0DA6" w:rsidRDefault="000A23D5" w:rsidP="00203597">
      <w:pPr>
        <w:pStyle w:val="BodyText2"/>
        <w:jc w:val="both"/>
        <w:rPr>
          <w:rFonts w:ascii="Times New Roman" w:hAnsi="Times New Roman" w:cs="Times New Roman"/>
          <w:i/>
          <w:iCs/>
          <w:sz w:val="24"/>
        </w:rPr>
      </w:pPr>
    </w:p>
    <w:p w14:paraId="297E26FD" w14:textId="77777777" w:rsidR="000A23D5" w:rsidRPr="004B0DA6" w:rsidRDefault="000A23D5" w:rsidP="00203597">
      <w:pPr>
        <w:pStyle w:val="BodyText2"/>
        <w:jc w:val="both"/>
        <w:rPr>
          <w:rFonts w:ascii="Times New Roman" w:hAnsi="Times New Roman" w:cs="Times New Roman"/>
          <w:i/>
          <w:iCs/>
          <w:sz w:val="24"/>
        </w:rPr>
      </w:pPr>
    </w:p>
    <w:p w14:paraId="1205CE32" w14:textId="77777777" w:rsidR="000A23D5" w:rsidRPr="004B0DA6" w:rsidRDefault="000A23D5" w:rsidP="00203597">
      <w:pPr>
        <w:pStyle w:val="BodyText2"/>
        <w:jc w:val="both"/>
        <w:rPr>
          <w:rFonts w:ascii="Times New Roman" w:hAnsi="Times New Roman" w:cs="Times New Roman"/>
          <w:i/>
          <w:iCs/>
          <w:sz w:val="24"/>
        </w:rPr>
      </w:pPr>
    </w:p>
    <w:p w14:paraId="1656E2DC" w14:textId="77777777" w:rsidR="000A23D5" w:rsidRPr="004B0DA6" w:rsidRDefault="000A23D5" w:rsidP="00203597">
      <w:pPr>
        <w:pStyle w:val="BodyText2"/>
        <w:jc w:val="both"/>
        <w:rPr>
          <w:rFonts w:ascii="Times New Roman" w:hAnsi="Times New Roman" w:cs="Times New Roman"/>
          <w:i/>
          <w:iCs/>
          <w:sz w:val="24"/>
        </w:rPr>
      </w:pPr>
    </w:p>
    <w:p w14:paraId="544E2B12" w14:textId="03C421F2" w:rsidR="0056179C" w:rsidRPr="004B0DA6" w:rsidRDefault="0056179C" w:rsidP="00203597">
      <w:pPr>
        <w:pStyle w:val="BodyText2"/>
        <w:jc w:val="both"/>
        <w:rPr>
          <w:rFonts w:ascii="Times New Roman" w:hAnsi="Times New Roman" w:cs="Times New Roman"/>
          <w:sz w:val="24"/>
        </w:rPr>
      </w:pPr>
      <w:r w:rsidRPr="004B0DA6">
        <w:rPr>
          <w:rFonts w:ascii="Times New Roman" w:hAnsi="Times New Roman" w:cs="Times New Roman"/>
          <w:i/>
          <w:iCs/>
          <w:sz w:val="24"/>
        </w:rPr>
        <w:t>Custodial credit risk.</w:t>
      </w:r>
      <w:r w:rsidRPr="004B0DA6">
        <w:rPr>
          <w:rFonts w:ascii="Times New Roman" w:hAnsi="Times New Roman" w:cs="Times New Roman"/>
          <w:sz w:val="24"/>
        </w:rPr>
        <w:t xml:space="preserve"> For an investment, the custodial risk is the risk that in the event of the failure of the counterparty, the City will not be able to recover the value of its investments or collateral securities that are in the possession of an outside party. The City’s $300,000 investments in repurchase agreements are uninsured and unregistered investments for which the securities are held by the counterparty, or by its trust department but not in the City’s name. The City has no formal policy on custodial credit risk, but management procedures are that the City shall utilize a third-party custodial agent for book entry transactions, all of which shall be held in the City’s name.</w:t>
      </w:r>
    </w:p>
    <w:p w14:paraId="7EBAADB2" w14:textId="0461FECD" w:rsidR="006F18E5" w:rsidRPr="004B0DA6" w:rsidRDefault="006F18E5" w:rsidP="00203597">
      <w:pPr>
        <w:pStyle w:val="BodyText2"/>
        <w:jc w:val="both"/>
        <w:rPr>
          <w:rFonts w:ascii="Times New Roman" w:hAnsi="Times New Roman" w:cs="Times New Roman"/>
        </w:rPr>
      </w:pPr>
    </w:p>
    <w:p w14:paraId="3ECCAA30" w14:textId="77777777" w:rsidR="0056179C" w:rsidRPr="004B0DA6" w:rsidRDefault="0056179C" w:rsidP="00203597">
      <w:pPr>
        <w:pBdr>
          <w:top w:val="thickThinSmallGap" w:sz="24" w:space="1" w:color="auto"/>
          <w:left w:val="thickThinSmallGap" w:sz="24" w:space="4" w:color="auto"/>
          <w:bottom w:val="thickThinSmallGap" w:sz="24" w:space="1" w:color="auto"/>
          <w:right w:val="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b/>
          <w:sz w:val="24"/>
          <w:szCs w:val="24"/>
        </w:rPr>
        <w:t>Note to preparer:</w:t>
      </w:r>
      <w:r w:rsidRPr="004B0DA6">
        <w:rPr>
          <w:rFonts w:ascii="Times New Roman" w:hAnsi="Times New Roman" w:cs="Times New Roman"/>
          <w:sz w:val="24"/>
          <w:szCs w:val="24"/>
        </w:rPr>
        <w:t xml:space="preserve"> Only Category 3 custodial risk should be disclosed. If there are none, then the paragraph above should be omitted. </w:t>
      </w:r>
      <w:r w:rsidRPr="004B0DA6">
        <w:rPr>
          <w:rFonts w:ascii="Times New Roman" w:hAnsi="Times New Roman" w:cs="Times New Roman"/>
          <w:sz w:val="24"/>
          <w:szCs w:val="24"/>
          <w:u w:val="single"/>
        </w:rPr>
        <w:t>Negative disclosures are not acceptable</w:t>
      </w:r>
      <w:r w:rsidRPr="004B0DA6">
        <w:rPr>
          <w:rFonts w:ascii="Times New Roman" w:hAnsi="Times New Roman" w:cs="Times New Roman"/>
          <w:sz w:val="24"/>
          <w:szCs w:val="24"/>
        </w:rPr>
        <w:t xml:space="preserve">. Proceeds from installment financing held in escrow by a bank or its trust department will be a Category 3 investment if the trust department /escrow agent purchases </w:t>
      </w:r>
      <w:r w:rsidRPr="004B0DA6">
        <w:rPr>
          <w:rFonts w:ascii="Times New Roman" w:hAnsi="Times New Roman" w:cs="Times New Roman"/>
          <w:sz w:val="24"/>
          <w:szCs w:val="24"/>
          <w:u w:val="single"/>
        </w:rPr>
        <w:t>and</w:t>
      </w:r>
      <w:r w:rsidRPr="004B0DA6">
        <w:rPr>
          <w:rFonts w:ascii="Times New Roman" w:hAnsi="Times New Roman" w:cs="Times New Roman"/>
          <w:sz w:val="24"/>
          <w:szCs w:val="24"/>
        </w:rPr>
        <w:t xml:space="preserve"> holds the securities, which is often common with these financing arrangements. This is not a new situation, but it will meet the exception standard of disclosing Category 3 investments for custodial credit risk under GASB Statement 40.  If the unit has custodial credit risk, then it will need to disclose whether it has a formal policy or internal management policy.  See Carolina County for an example of a formal policy.</w:t>
      </w:r>
    </w:p>
    <w:p w14:paraId="4CA9DAB0" w14:textId="77777777" w:rsidR="0056179C" w:rsidRPr="004B0DA6" w:rsidRDefault="0056179C" w:rsidP="00203597">
      <w:pPr>
        <w:pStyle w:val="BodyText2"/>
        <w:rPr>
          <w:rFonts w:ascii="Times New Roman" w:hAnsi="Times New Roman" w:cs="Times New Roman"/>
          <w:i/>
          <w:sz w:val="23"/>
          <w:szCs w:val="23"/>
        </w:rPr>
      </w:pPr>
    </w:p>
    <w:p w14:paraId="2B377751" w14:textId="6C6A39C5" w:rsidR="0056179C" w:rsidRPr="004B0DA6" w:rsidRDefault="0056179C" w:rsidP="00203597">
      <w:pPr>
        <w:pStyle w:val="BodyText2"/>
        <w:jc w:val="both"/>
        <w:rPr>
          <w:rFonts w:ascii="Times New Roman" w:hAnsi="Times New Roman" w:cs="Times New Roman"/>
          <w:sz w:val="24"/>
        </w:rPr>
      </w:pPr>
      <w:r w:rsidRPr="004B0DA6">
        <w:rPr>
          <w:rFonts w:ascii="Times New Roman" w:hAnsi="Times New Roman" w:cs="Times New Roman"/>
          <w:i/>
          <w:sz w:val="24"/>
        </w:rPr>
        <w:t>Concentration of Credit Risk.</w:t>
      </w:r>
      <w:r w:rsidRPr="004B0DA6">
        <w:rPr>
          <w:rFonts w:ascii="Times New Roman" w:hAnsi="Times New Roman" w:cs="Times New Roman"/>
          <w:sz w:val="24"/>
        </w:rPr>
        <w:t xml:space="preserve"> The City’s Board places no limit on the amount that the City may invest in any one issuer. More than 5 percent of the City’s investments are in Federal Home Loan Bank securities</w:t>
      </w:r>
      <w:r w:rsidR="005F214E" w:rsidRPr="004B0DA6">
        <w:rPr>
          <w:rFonts w:ascii="Times New Roman" w:hAnsi="Times New Roman" w:cs="Times New Roman"/>
          <w:sz w:val="24"/>
        </w:rPr>
        <w:t xml:space="preserve"> </w:t>
      </w:r>
      <w:r w:rsidR="000F31B4" w:rsidRPr="004B0DA6">
        <w:rPr>
          <w:rFonts w:ascii="Times New Roman" w:hAnsi="Times New Roman" w:cs="Times New Roman"/>
          <w:sz w:val="24"/>
        </w:rPr>
        <w:t xml:space="preserve">and </w:t>
      </w:r>
      <w:r w:rsidR="00AF6548" w:rsidRPr="004B0DA6">
        <w:rPr>
          <w:rFonts w:ascii="Times New Roman" w:hAnsi="Times New Roman" w:cs="Times New Roman"/>
          <w:sz w:val="24"/>
        </w:rPr>
        <w:t>Urban</w:t>
      </w:r>
      <w:r w:rsidR="000F31B4" w:rsidRPr="004B0DA6">
        <w:rPr>
          <w:rFonts w:ascii="Times New Roman" w:hAnsi="Times New Roman" w:cs="Times New Roman"/>
          <w:sz w:val="24"/>
        </w:rPr>
        <w:t xml:space="preserve"> County Bonds</w:t>
      </w:r>
      <w:r w:rsidRPr="004B0DA6">
        <w:rPr>
          <w:rFonts w:ascii="Times New Roman" w:hAnsi="Times New Roman" w:cs="Times New Roman"/>
          <w:sz w:val="24"/>
        </w:rPr>
        <w:t>. Th</w:t>
      </w:r>
      <w:r w:rsidR="000F31B4" w:rsidRPr="004B0DA6">
        <w:rPr>
          <w:rFonts w:ascii="Times New Roman" w:hAnsi="Times New Roman" w:cs="Times New Roman"/>
          <w:sz w:val="24"/>
        </w:rPr>
        <w:t>e</w:t>
      </w:r>
      <w:r w:rsidRPr="004B0DA6">
        <w:rPr>
          <w:rFonts w:ascii="Times New Roman" w:hAnsi="Times New Roman" w:cs="Times New Roman"/>
          <w:sz w:val="24"/>
        </w:rPr>
        <w:t>s</w:t>
      </w:r>
      <w:r w:rsidR="000F31B4" w:rsidRPr="004B0DA6">
        <w:rPr>
          <w:rFonts w:ascii="Times New Roman" w:hAnsi="Times New Roman" w:cs="Times New Roman"/>
          <w:sz w:val="24"/>
        </w:rPr>
        <w:t>e</w:t>
      </w:r>
      <w:r w:rsidRPr="004B0DA6">
        <w:rPr>
          <w:rFonts w:ascii="Times New Roman" w:hAnsi="Times New Roman" w:cs="Times New Roman"/>
          <w:sz w:val="24"/>
        </w:rPr>
        <w:t xml:space="preserve"> investment</w:t>
      </w:r>
      <w:r w:rsidR="000F31B4" w:rsidRPr="004B0DA6">
        <w:rPr>
          <w:rFonts w:ascii="Times New Roman" w:hAnsi="Times New Roman" w:cs="Times New Roman"/>
          <w:sz w:val="24"/>
        </w:rPr>
        <w:t>s</w:t>
      </w:r>
      <w:r w:rsidRPr="004B0DA6">
        <w:rPr>
          <w:rFonts w:ascii="Times New Roman" w:hAnsi="Times New Roman" w:cs="Times New Roman"/>
          <w:sz w:val="24"/>
        </w:rPr>
        <w:t xml:space="preserve"> </w:t>
      </w:r>
      <w:r w:rsidR="000F31B4" w:rsidRPr="004B0DA6">
        <w:rPr>
          <w:rFonts w:ascii="Times New Roman" w:hAnsi="Times New Roman" w:cs="Times New Roman"/>
          <w:sz w:val="24"/>
        </w:rPr>
        <w:t>are</w:t>
      </w:r>
      <w:r w:rsidRPr="004B0DA6">
        <w:rPr>
          <w:rFonts w:ascii="Times New Roman" w:hAnsi="Times New Roman" w:cs="Times New Roman"/>
          <w:sz w:val="24"/>
        </w:rPr>
        <w:t xml:space="preserve"> 1</w:t>
      </w:r>
      <w:r w:rsidR="005F214E" w:rsidRPr="004B0DA6">
        <w:rPr>
          <w:rFonts w:ascii="Times New Roman" w:hAnsi="Times New Roman" w:cs="Times New Roman"/>
          <w:sz w:val="24"/>
        </w:rPr>
        <w:t>4.4</w:t>
      </w:r>
      <w:r w:rsidRPr="004B0DA6">
        <w:rPr>
          <w:rFonts w:ascii="Times New Roman" w:hAnsi="Times New Roman" w:cs="Times New Roman"/>
          <w:sz w:val="24"/>
        </w:rPr>
        <w:t xml:space="preserve">% </w:t>
      </w:r>
      <w:r w:rsidR="000F31B4" w:rsidRPr="004B0DA6">
        <w:rPr>
          <w:rFonts w:ascii="Times New Roman" w:hAnsi="Times New Roman" w:cs="Times New Roman"/>
          <w:sz w:val="24"/>
        </w:rPr>
        <w:t xml:space="preserve">and 34.1%, respectively, </w:t>
      </w:r>
      <w:r w:rsidRPr="004B0DA6">
        <w:rPr>
          <w:rFonts w:ascii="Times New Roman" w:hAnsi="Times New Roman" w:cs="Times New Roman"/>
          <w:sz w:val="24"/>
        </w:rPr>
        <w:t>of the City’s total investments.</w:t>
      </w:r>
    </w:p>
    <w:p w14:paraId="09E92F0D" w14:textId="1E29059B" w:rsidR="0056179C" w:rsidRPr="004B0DA6" w:rsidRDefault="0056179C" w:rsidP="00203597">
      <w:pPr>
        <w:pStyle w:val="BodyText2"/>
        <w:rPr>
          <w:rFonts w:ascii="Times New Roman" w:hAnsi="Times New Roman" w:cs="Times New Roman"/>
        </w:rPr>
      </w:pPr>
    </w:p>
    <w:p w14:paraId="26C8CAA0" w14:textId="77777777" w:rsidR="000A23D5" w:rsidRPr="004B0DA6" w:rsidRDefault="000A23D5" w:rsidP="00203597">
      <w:pPr>
        <w:pStyle w:val="BodyText2"/>
        <w:rPr>
          <w:rFonts w:ascii="Times New Roman" w:hAnsi="Times New Roman" w:cs="Times New Roman"/>
        </w:rPr>
      </w:pPr>
    </w:p>
    <w:p w14:paraId="17E6B172" w14:textId="39D47D7A" w:rsidR="0056179C" w:rsidRPr="004B0DA6" w:rsidRDefault="0056179C" w:rsidP="00203597">
      <w:pPr>
        <w:pBdr>
          <w:top w:val="thickThinSmallGap" w:sz="24" w:space="1" w:color="auto"/>
          <w:left w:val="thickThinSmallGap" w:sz="24" w:space="4" w:color="auto"/>
          <w:bottom w:val="thickThinSmallGap" w:sz="24" w:space="1" w:color="auto"/>
          <w:right w:val="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b/>
          <w:sz w:val="24"/>
          <w:szCs w:val="24"/>
        </w:rPr>
        <w:t>Note to preparer:</w:t>
      </w:r>
      <w:r w:rsidRPr="004B0DA6">
        <w:rPr>
          <w:rFonts w:ascii="Times New Roman" w:hAnsi="Times New Roman" w:cs="Times New Roman"/>
          <w:sz w:val="24"/>
          <w:szCs w:val="24"/>
        </w:rPr>
        <w:t xml:space="preserve">  Concentration risk is only included if one of the issuers is 5% or greater of the total investment portfolio (excludes deposits). It should be omitted if no holdings meet the 5% rule. Treasuries and the NCCMT do not qualify for this disclosure. Repurchase agreements in NC are limited to Treasuries and GNMA; therefore, no concentration risk disclosure is required. However, if a unit holds repurchase agreements in other securities, the concentration risk is based on the underlying security.  If the unit has a concentration of credit risk, then it will need to disclose whether it has a formal policy or internal management policy.  See Carolina County for an example of a formal policy.</w:t>
      </w:r>
    </w:p>
    <w:p w14:paraId="08321E10" w14:textId="77777777" w:rsidR="0056179C" w:rsidRPr="004B0DA6" w:rsidRDefault="0056179C" w:rsidP="00203597">
      <w:pPr>
        <w:pStyle w:val="BodyText2"/>
        <w:rPr>
          <w:rFonts w:ascii="Times New Roman" w:hAnsi="Times New Roman" w:cs="Times New Roman"/>
        </w:rPr>
      </w:pPr>
    </w:p>
    <w:p w14:paraId="42ABEF28" w14:textId="00122243" w:rsidR="0056179C" w:rsidRPr="004B0DA6" w:rsidRDefault="0056179C" w:rsidP="00203597">
      <w:pPr>
        <w:keepNext/>
        <w:spacing w:after="0"/>
        <w:rPr>
          <w:rFonts w:ascii="Times New Roman" w:hAnsi="Times New Roman" w:cs="Times New Roman"/>
          <w:sz w:val="24"/>
          <w:szCs w:val="24"/>
          <w:u w:val="single"/>
        </w:rPr>
      </w:pPr>
      <w:r w:rsidRPr="004B0DA6">
        <w:rPr>
          <w:rFonts w:ascii="Times New Roman" w:hAnsi="Times New Roman" w:cs="Times New Roman"/>
          <w:sz w:val="24"/>
          <w:szCs w:val="24"/>
        </w:rPr>
        <w:lastRenderedPageBreak/>
        <w:t xml:space="preserve">3. </w:t>
      </w:r>
      <w:r w:rsidRPr="004B0DA6">
        <w:rPr>
          <w:rFonts w:ascii="Times New Roman" w:hAnsi="Times New Roman" w:cs="Times New Roman"/>
          <w:sz w:val="24"/>
          <w:szCs w:val="24"/>
          <w:u w:val="single"/>
        </w:rPr>
        <w:t>Receivables - Allowances for Doubtful Accounts</w:t>
      </w:r>
    </w:p>
    <w:p w14:paraId="52B9186A" w14:textId="77777777" w:rsidR="000A23D5" w:rsidRPr="004B0DA6" w:rsidRDefault="000A23D5" w:rsidP="00203597">
      <w:pPr>
        <w:keepNext/>
        <w:spacing w:after="0"/>
        <w:rPr>
          <w:rFonts w:ascii="Times New Roman" w:hAnsi="Times New Roman" w:cs="Times New Roman"/>
          <w:sz w:val="24"/>
          <w:szCs w:val="24"/>
          <w:u w:val="single"/>
        </w:rPr>
      </w:pPr>
    </w:p>
    <w:p w14:paraId="1010A63E" w14:textId="259C32F2" w:rsidR="0056179C" w:rsidRPr="004B0DA6" w:rsidRDefault="0056179C" w:rsidP="00203597">
      <w:pPr>
        <w:keepNext/>
        <w:pBdr>
          <w:top w:val="thickThinSmallGap" w:sz="24" w:space="1" w:color="auto"/>
          <w:left w:val="thickThinSmallGap" w:sz="24" w:space="4" w:color="auto"/>
          <w:bottom w:val="thickThinSmallGap" w:sz="24" w:space="1" w:color="auto"/>
          <w:right w:val="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b/>
          <w:sz w:val="24"/>
          <w:szCs w:val="24"/>
        </w:rPr>
        <w:t>Note to preparer:</w:t>
      </w:r>
      <w:r w:rsidRPr="004B0DA6">
        <w:rPr>
          <w:rFonts w:ascii="Times New Roman" w:hAnsi="Times New Roman" w:cs="Times New Roman"/>
          <w:sz w:val="24"/>
          <w:szCs w:val="24"/>
        </w:rPr>
        <w:t xml:space="preserve"> See </w:t>
      </w:r>
      <w:r w:rsidRPr="004B0DA6">
        <w:rPr>
          <w:rFonts w:ascii="Times New Roman" w:hAnsi="Times New Roman" w:cs="Times New Roman"/>
          <w:i/>
          <w:sz w:val="24"/>
          <w:szCs w:val="24"/>
        </w:rPr>
        <w:t>Note III.A.4 – Receivables</w:t>
      </w:r>
      <w:r w:rsidRPr="004B0DA6">
        <w:rPr>
          <w:rFonts w:ascii="Times New Roman" w:hAnsi="Times New Roman" w:cs="Times New Roman"/>
          <w:sz w:val="24"/>
          <w:szCs w:val="24"/>
        </w:rPr>
        <w:t xml:space="preserve"> in Carolina County for an example of the detailed note required for units that choose not to disaggregate accounts receivable on the face of their financial statements.</w:t>
      </w:r>
    </w:p>
    <w:p w14:paraId="3BDFE9BC" w14:textId="77777777" w:rsidR="000A23D5" w:rsidRPr="004B0DA6" w:rsidRDefault="000A23D5" w:rsidP="00203597">
      <w:pPr>
        <w:spacing w:after="0"/>
        <w:jc w:val="both"/>
        <w:rPr>
          <w:rFonts w:ascii="Times New Roman" w:hAnsi="Times New Roman" w:cs="Times New Roman"/>
          <w:sz w:val="24"/>
          <w:szCs w:val="24"/>
        </w:rPr>
      </w:pPr>
    </w:p>
    <w:p w14:paraId="185AB7BC" w14:textId="53BC749A"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The amount of taxes receivable presented in the Balance Sheet and the Statement of Net Position includes penalties levied and outstanding in the amount of $6,055.</w:t>
      </w:r>
      <w:r w:rsidR="00AF6548" w:rsidRPr="004B0DA6">
        <w:rPr>
          <w:rFonts w:ascii="Times New Roman" w:hAnsi="Times New Roman" w:cs="Times New Roman"/>
          <w:sz w:val="24"/>
          <w:szCs w:val="24"/>
        </w:rPr>
        <w:t xml:space="preserve"> </w:t>
      </w:r>
      <w:r w:rsidRPr="004B0DA6">
        <w:rPr>
          <w:rFonts w:ascii="Times New Roman" w:hAnsi="Times New Roman" w:cs="Times New Roman"/>
          <w:sz w:val="24"/>
        </w:rPr>
        <w:t xml:space="preserve">The amounts presented in the Balance Sheet and the Statement of Net Position for the year ended June 30, </w:t>
      </w:r>
      <w:r w:rsidR="00A85B23" w:rsidRPr="004B0DA6">
        <w:rPr>
          <w:rFonts w:ascii="Times New Roman" w:hAnsi="Times New Roman" w:cs="Times New Roman"/>
          <w:sz w:val="24"/>
        </w:rPr>
        <w:t>202</w:t>
      </w:r>
      <w:r w:rsidR="00537DD4" w:rsidRPr="004B0DA6">
        <w:rPr>
          <w:rFonts w:ascii="Times New Roman" w:hAnsi="Times New Roman" w:cs="Times New Roman"/>
          <w:sz w:val="24"/>
        </w:rPr>
        <w:t>4</w:t>
      </w:r>
      <w:r w:rsidRPr="004B0DA6">
        <w:rPr>
          <w:rFonts w:ascii="Times New Roman" w:hAnsi="Times New Roman" w:cs="Times New Roman"/>
          <w:sz w:val="24"/>
        </w:rPr>
        <w:t>, are net of the following allowances for doubtful accounts:</w:t>
      </w:r>
    </w:p>
    <w:p w14:paraId="6B47572C" w14:textId="77777777" w:rsidR="0056179C" w:rsidRPr="004B0DA6" w:rsidRDefault="0056179C" w:rsidP="00203597">
      <w:pPr>
        <w:keepNext/>
        <w:spacing w:after="0"/>
        <w:rPr>
          <w:rFonts w:ascii="Times New Roman" w:hAnsi="Times New Roman" w:cs="Times New Roman"/>
          <w:sz w:val="24"/>
        </w:rPr>
      </w:pPr>
    </w:p>
    <w:p w14:paraId="2AE835D0" w14:textId="77777777" w:rsidR="0056179C" w:rsidRPr="004B0DA6" w:rsidRDefault="0056179C" w:rsidP="00203597">
      <w:pPr>
        <w:keepNext/>
        <w:spacing w:after="0"/>
        <w:rPr>
          <w:rFonts w:ascii="Times New Roman" w:hAnsi="Times New Roman" w:cs="Times New Roman"/>
          <w:sz w:val="24"/>
        </w:rPr>
      </w:pPr>
      <w:r w:rsidRPr="004B0DA6">
        <w:rPr>
          <w:rFonts w:ascii="Times New Roman" w:hAnsi="Times New Roman" w:cs="Times New Roman"/>
          <w:sz w:val="24"/>
        </w:rPr>
        <w:object w:dxaOrig="7274" w:dyaOrig="2776" w14:anchorId="2C50F348">
          <v:shape id="_x0000_i1026" type="#_x0000_t75" style="width:362.25pt;height:138.75pt" o:ole="">
            <v:imagedata r:id="rId22" o:title=""/>
          </v:shape>
          <o:OLEObject Type="Embed" ProgID="Excel.Sheet.8" ShapeID="_x0000_i1026" DrawAspect="Content" ObjectID="_1793012021" r:id="rId23"/>
        </w:object>
      </w:r>
    </w:p>
    <w:p w14:paraId="669068F7" w14:textId="77777777" w:rsidR="000A23D5" w:rsidRPr="004B0DA6" w:rsidRDefault="000A23D5" w:rsidP="00203597">
      <w:pPr>
        <w:keepNext/>
        <w:spacing w:after="0"/>
        <w:rPr>
          <w:rFonts w:ascii="Times New Roman" w:hAnsi="Times New Roman" w:cs="Times New Roman"/>
          <w:sz w:val="24"/>
        </w:rPr>
      </w:pPr>
      <w:bookmarkStart w:id="11" w:name="_Hlk86315546"/>
    </w:p>
    <w:p w14:paraId="3CCA5F63" w14:textId="3EB2A5D3" w:rsidR="006A2B71" w:rsidRPr="004B0DA6" w:rsidRDefault="006A2B71" w:rsidP="00203597">
      <w:pPr>
        <w:keepNext/>
        <w:spacing w:after="0"/>
        <w:rPr>
          <w:rFonts w:ascii="Times New Roman" w:hAnsi="Times New Roman" w:cs="Times New Roman"/>
          <w:sz w:val="24"/>
        </w:rPr>
      </w:pPr>
      <w:r w:rsidRPr="004B0DA6">
        <w:rPr>
          <w:rFonts w:ascii="Times New Roman" w:hAnsi="Times New Roman" w:cs="Times New Roman"/>
          <w:sz w:val="24"/>
        </w:rPr>
        <w:t>4. Lease</w:t>
      </w:r>
      <w:r w:rsidR="00B211E3" w:rsidRPr="004B0DA6">
        <w:rPr>
          <w:rFonts w:ascii="Times New Roman" w:hAnsi="Times New Roman" w:cs="Times New Roman"/>
          <w:sz w:val="24"/>
        </w:rPr>
        <w:t>s</w:t>
      </w:r>
      <w:r w:rsidRPr="004B0DA6">
        <w:rPr>
          <w:rFonts w:ascii="Times New Roman" w:hAnsi="Times New Roman" w:cs="Times New Roman"/>
          <w:sz w:val="24"/>
        </w:rPr>
        <w:t xml:space="preserve"> Receivable</w:t>
      </w:r>
    </w:p>
    <w:p w14:paraId="53CB43C3" w14:textId="3C5C9706" w:rsidR="0040703B" w:rsidRPr="004B0DA6" w:rsidRDefault="00B211E3" w:rsidP="00203597">
      <w:pPr>
        <w:widowControl w:val="0"/>
        <w:spacing w:after="0"/>
        <w:jc w:val="both"/>
        <w:rPr>
          <w:rFonts w:ascii="Times New Roman" w:hAnsi="Times New Roman" w:cs="Times New Roman"/>
          <w:sz w:val="24"/>
        </w:rPr>
      </w:pPr>
      <w:bookmarkStart w:id="12" w:name="_Hlk86307027"/>
      <w:r w:rsidRPr="004B0DA6">
        <w:rPr>
          <w:rFonts w:ascii="Times New Roman" w:hAnsi="Times New Roman" w:cs="Times New Roman"/>
          <w:sz w:val="24"/>
        </w:rPr>
        <w:t>In a previous year t</w:t>
      </w:r>
      <w:r w:rsidR="0040703B" w:rsidRPr="004B0DA6">
        <w:rPr>
          <w:rFonts w:ascii="Times New Roman" w:hAnsi="Times New Roman" w:cs="Times New Roman"/>
          <w:sz w:val="24"/>
        </w:rPr>
        <w:t>he City</w:t>
      </w:r>
      <w:r w:rsidR="001100A2" w:rsidRPr="004B0DA6">
        <w:rPr>
          <w:rFonts w:ascii="Times New Roman" w:hAnsi="Times New Roman" w:cs="Times New Roman"/>
          <w:sz w:val="24"/>
        </w:rPr>
        <w:t>’</w:t>
      </w:r>
      <w:r w:rsidR="0082185D" w:rsidRPr="004B0DA6">
        <w:rPr>
          <w:rFonts w:ascii="Times New Roman" w:hAnsi="Times New Roman" w:cs="Times New Roman"/>
          <w:sz w:val="24"/>
        </w:rPr>
        <w:t>s Water and Sewer Enterprise Fund</w:t>
      </w:r>
      <w:r w:rsidR="0040703B" w:rsidRPr="004B0DA6">
        <w:rPr>
          <w:rFonts w:ascii="Times New Roman" w:hAnsi="Times New Roman" w:cs="Times New Roman"/>
          <w:sz w:val="24"/>
        </w:rPr>
        <w:t xml:space="preserve"> </w:t>
      </w:r>
      <w:proofErr w:type="gramStart"/>
      <w:r w:rsidR="0040703B" w:rsidRPr="004B0DA6">
        <w:rPr>
          <w:rFonts w:ascii="Times New Roman" w:hAnsi="Times New Roman" w:cs="Times New Roman"/>
          <w:sz w:val="24"/>
        </w:rPr>
        <w:t>entered into</w:t>
      </w:r>
      <w:proofErr w:type="gramEnd"/>
      <w:r w:rsidR="0040703B" w:rsidRPr="004B0DA6">
        <w:rPr>
          <w:rFonts w:ascii="Times New Roman" w:hAnsi="Times New Roman" w:cs="Times New Roman"/>
          <w:sz w:val="24"/>
        </w:rPr>
        <w:t xml:space="preserve"> a 10-year lease as the lessor. The agreement is a cell tower license agreement with </w:t>
      </w:r>
      <w:r w:rsidR="00B13C41" w:rsidRPr="004B0DA6">
        <w:rPr>
          <w:rFonts w:ascii="Times New Roman" w:hAnsi="Times New Roman" w:cs="Times New Roman"/>
          <w:sz w:val="24"/>
        </w:rPr>
        <w:t>Reliable</w:t>
      </w:r>
      <w:r w:rsidR="0040703B" w:rsidRPr="004B0DA6">
        <w:rPr>
          <w:rFonts w:ascii="Times New Roman" w:hAnsi="Times New Roman" w:cs="Times New Roman"/>
          <w:sz w:val="24"/>
        </w:rPr>
        <w:t xml:space="preserve"> Wireless, LLC (</w:t>
      </w:r>
      <w:r w:rsidR="00B13C41" w:rsidRPr="004B0DA6">
        <w:rPr>
          <w:rFonts w:ascii="Times New Roman" w:hAnsi="Times New Roman" w:cs="Times New Roman"/>
          <w:sz w:val="24"/>
        </w:rPr>
        <w:t>Reliable</w:t>
      </w:r>
      <w:r w:rsidR="0040703B" w:rsidRPr="004B0DA6">
        <w:rPr>
          <w:rFonts w:ascii="Times New Roman" w:hAnsi="Times New Roman" w:cs="Times New Roman"/>
          <w:sz w:val="24"/>
        </w:rPr>
        <w:t xml:space="preserve">) which allows </w:t>
      </w:r>
      <w:r w:rsidR="00B13C41" w:rsidRPr="004B0DA6">
        <w:rPr>
          <w:rFonts w:ascii="Times New Roman" w:hAnsi="Times New Roman" w:cs="Times New Roman"/>
          <w:sz w:val="24"/>
        </w:rPr>
        <w:t xml:space="preserve">Reliable </w:t>
      </w:r>
      <w:r w:rsidR="0040703B" w:rsidRPr="004B0DA6">
        <w:rPr>
          <w:rFonts w:ascii="Times New Roman" w:hAnsi="Times New Roman" w:cs="Times New Roman"/>
          <w:sz w:val="24"/>
        </w:rPr>
        <w:t xml:space="preserve">to install, maintain, and operate radio operations equipment on the City’s tower at 1044 Dogwood Parkway. </w:t>
      </w:r>
      <w:r w:rsidR="00B13C41" w:rsidRPr="004B0DA6">
        <w:rPr>
          <w:rFonts w:ascii="Times New Roman" w:hAnsi="Times New Roman" w:cs="Times New Roman"/>
          <w:sz w:val="24"/>
        </w:rPr>
        <w:t>Reliable</w:t>
      </w:r>
      <w:r w:rsidR="0040703B" w:rsidRPr="004B0DA6">
        <w:rPr>
          <w:rFonts w:ascii="Times New Roman" w:hAnsi="Times New Roman" w:cs="Times New Roman"/>
          <w:sz w:val="24"/>
        </w:rPr>
        <w:t xml:space="preserve"> also has the right to construct and use an eq</w:t>
      </w:r>
      <w:r w:rsidR="0067140A" w:rsidRPr="004B0DA6">
        <w:rPr>
          <w:rFonts w:ascii="Times New Roman" w:hAnsi="Times New Roman" w:cs="Times New Roman"/>
          <w:sz w:val="24"/>
        </w:rPr>
        <w:t>uipment storage area at the site</w:t>
      </w:r>
      <w:r w:rsidR="0040703B" w:rsidRPr="004B0DA6">
        <w:rPr>
          <w:rFonts w:ascii="Times New Roman" w:hAnsi="Times New Roman" w:cs="Times New Roman"/>
          <w:sz w:val="24"/>
        </w:rPr>
        <w:t>.</w:t>
      </w:r>
      <w:r w:rsidR="0067140A" w:rsidRPr="004B0DA6">
        <w:rPr>
          <w:rFonts w:ascii="Times New Roman" w:hAnsi="Times New Roman" w:cs="Times New Roman"/>
          <w:sz w:val="24"/>
        </w:rPr>
        <w:t xml:space="preserve"> </w:t>
      </w:r>
      <w:r w:rsidR="0040703B" w:rsidRPr="004B0DA6">
        <w:rPr>
          <w:rFonts w:ascii="Times New Roman" w:hAnsi="Times New Roman" w:cs="Times New Roman"/>
          <w:sz w:val="24"/>
        </w:rPr>
        <w:t xml:space="preserve"> </w:t>
      </w:r>
      <w:r w:rsidR="00B13C41" w:rsidRPr="004B0DA6">
        <w:rPr>
          <w:rFonts w:ascii="Times New Roman" w:hAnsi="Times New Roman" w:cs="Times New Roman"/>
          <w:sz w:val="24"/>
        </w:rPr>
        <w:t>Reliable</w:t>
      </w:r>
      <w:r w:rsidR="0067140A" w:rsidRPr="004B0DA6">
        <w:rPr>
          <w:rFonts w:ascii="Times New Roman" w:hAnsi="Times New Roman" w:cs="Times New Roman"/>
          <w:sz w:val="24"/>
        </w:rPr>
        <w:t xml:space="preserve"> is required to make fixed annual payments.</w:t>
      </w:r>
      <w:r w:rsidR="001100A2" w:rsidRPr="004B0DA6">
        <w:rPr>
          <w:rFonts w:ascii="Times New Roman" w:hAnsi="Times New Roman" w:cs="Times New Roman"/>
          <w:sz w:val="24"/>
        </w:rPr>
        <w:t xml:space="preserve"> </w:t>
      </w:r>
      <w:r w:rsidR="00C95E13" w:rsidRPr="004B0DA6">
        <w:rPr>
          <w:rFonts w:ascii="Times New Roman" w:hAnsi="Times New Roman" w:cs="Times New Roman"/>
          <w:sz w:val="24"/>
        </w:rPr>
        <w:t>In fiscal year 202</w:t>
      </w:r>
      <w:r w:rsidR="0013633E" w:rsidRPr="004B0DA6">
        <w:rPr>
          <w:rFonts w:ascii="Times New Roman" w:hAnsi="Times New Roman" w:cs="Times New Roman"/>
          <w:sz w:val="24"/>
        </w:rPr>
        <w:t>4</w:t>
      </w:r>
      <w:r w:rsidR="00C95E13" w:rsidRPr="004B0DA6">
        <w:rPr>
          <w:rFonts w:ascii="Times New Roman" w:hAnsi="Times New Roman" w:cs="Times New Roman"/>
          <w:sz w:val="24"/>
        </w:rPr>
        <w:t>, t</w:t>
      </w:r>
      <w:r w:rsidR="001100A2" w:rsidRPr="004B0DA6">
        <w:rPr>
          <w:rFonts w:ascii="Times New Roman" w:hAnsi="Times New Roman" w:cs="Times New Roman"/>
          <w:sz w:val="24"/>
        </w:rPr>
        <w:t>he City recognized</w:t>
      </w:r>
      <w:r w:rsidR="00C95E13" w:rsidRPr="004B0DA6">
        <w:rPr>
          <w:rFonts w:ascii="Times New Roman" w:hAnsi="Times New Roman" w:cs="Times New Roman"/>
          <w:sz w:val="24"/>
        </w:rPr>
        <w:t xml:space="preserve"> $12,830 of lease revenue</w:t>
      </w:r>
      <w:r w:rsidR="001100A2" w:rsidRPr="004B0DA6">
        <w:rPr>
          <w:rFonts w:ascii="Times New Roman" w:hAnsi="Times New Roman" w:cs="Times New Roman"/>
          <w:sz w:val="24"/>
        </w:rPr>
        <w:t xml:space="preserve"> and $</w:t>
      </w:r>
      <w:r w:rsidR="00C95E13" w:rsidRPr="004B0DA6">
        <w:rPr>
          <w:rFonts w:ascii="Times New Roman" w:hAnsi="Times New Roman" w:cs="Times New Roman"/>
          <w:sz w:val="24"/>
        </w:rPr>
        <w:t>868 of interest revenue under the lease.</w:t>
      </w:r>
      <w:r w:rsidR="0067140A" w:rsidRPr="004B0DA6">
        <w:rPr>
          <w:rFonts w:ascii="Times New Roman" w:hAnsi="Times New Roman" w:cs="Times New Roman"/>
          <w:sz w:val="24"/>
        </w:rPr>
        <w:t xml:space="preserve"> The payment during the current fiscal year was $</w:t>
      </w:r>
      <w:r w:rsidR="00C2544B" w:rsidRPr="004B0DA6">
        <w:rPr>
          <w:rFonts w:ascii="Times New Roman" w:hAnsi="Times New Roman" w:cs="Times New Roman"/>
          <w:sz w:val="24"/>
        </w:rPr>
        <w:t>13</w:t>
      </w:r>
      <w:r w:rsidR="0067140A" w:rsidRPr="004B0DA6">
        <w:rPr>
          <w:rFonts w:ascii="Times New Roman" w:hAnsi="Times New Roman" w:cs="Times New Roman"/>
          <w:sz w:val="24"/>
        </w:rPr>
        <w:t>,</w:t>
      </w:r>
      <w:r w:rsidR="00C2544B" w:rsidRPr="004B0DA6">
        <w:rPr>
          <w:rFonts w:ascii="Times New Roman" w:hAnsi="Times New Roman" w:cs="Times New Roman"/>
          <w:sz w:val="24"/>
        </w:rPr>
        <w:t>9</w:t>
      </w:r>
      <w:r w:rsidR="00B13C41" w:rsidRPr="004B0DA6">
        <w:rPr>
          <w:rFonts w:ascii="Times New Roman" w:hAnsi="Times New Roman" w:cs="Times New Roman"/>
          <w:sz w:val="24"/>
        </w:rPr>
        <w:t>11</w:t>
      </w:r>
      <w:r w:rsidR="0067140A" w:rsidRPr="004B0DA6">
        <w:rPr>
          <w:rFonts w:ascii="Times New Roman" w:hAnsi="Times New Roman" w:cs="Times New Roman"/>
          <w:sz w:val="24"/>
        </w:rPr>
        <w:t xml:space="preserve">. The </w:t>
      </w:r>
      <w:r w:rsidR="00C95E13" w:rsidRPr="004B0DA6">
        <w:rPr>
          <w:rFonts w:ascii="Times New Roman" w:hAnsi="Times New Roman" w:cs="Times New Roman"/>
          <w:sz w:val="24"/>
        </w:rPr>
        <w:t xml:space="preserve">payment </w:t>
      </w:r>
      <w:r w:rsidR="0067140A" w:rsidRPr="004B0DA6">
        <w:rPr>
          <w:rFonts w:ascii="Times New Roman" w:hAnsi="Times New Roman" w:cs="Times New Roman"/>
          <w:sz w:val="24"/>
        </w:rPr>
        <w:t xml:space="preserve">amount will increase 3% in each subsequent year of the remaining </w:t>
      </w:r>
      <w:r w:rsidR="0078372D" w:rsidRPr="004B0DA6">
        <w:rPr>
          <w:rFonts w:ascii="Times New Roman" w:hAnsi="Times New Roman" w:cs="Times New Roman"/>
          <w:sz w:val="24"/>
        </w:rPr>
        <w:t>4-year</w:t>
      </w:r>
      <w:r w:rsidR="0067140A" w:rsidRPr="004B0DA6">
        <w:rPr>
          <w:rFonts w:ascii="Times New Roman" w:hAnsi="Times New Roman" w:cs="Times New Roman"/>
          <w:sz w:val="24"/>
        </w:rPr>
        <w:t xml:space="preserve"> term. The agreement does not contain a stated rate. Accordingly, the City’s estimated incremental borrowing rate of 1.5% was used to discount the minimum lease payments.</w:t>
      </w:r>
    </w:p>
    <w:p w14:paraId="408B58A1" w14:textId="77777777" w:rsidR="003411A5" w:rsidRPr="004B0DA6" w:rsidRDefault="003411A5" w:rsidP="00203597">
      <w:pPr>
        <w:widowControl w:val="0"/>
        <w:spacing w:after="0"/>
        <w:jc w:val="both"/>
        <w:rPr>
          <w:rFonts w:ascii="Times New Roman" w:hAnsi="Times New Roman" w:cs="Times New Roman"/>
          <w:sz w:val="24"/>
          <w:highlight w:val="yellow"/>
        </w:rPr>
      </w:pPr>
    </w:p>
    <w:p w14:paraId="7303EE3D" w14:textId="471A9613" w:rsidR="008A0E24" w:rsidRPr="004B0DA6" w:rsidRDefault="00D6759D" w:rsidP="00203597">
      <w:pPr>
        <w:widowControl w:val="0"/>
        <w:spacing w:after="0"/>
        <w:jc w:val="both"/>
        <w:rPr>
          <w:rFonts w:ascii="Times New Roman" w:hAnsi="Times New Roman" w:cs="Times New Roman"/>
          <w:sz w:val="24"/>
        </w:rPr>
      </w:pPr>
      <w:r w:rsidRPr="004B0DA6">
        <w:rPr>
          <w:rFonts w:ascii="Times New Roman" w:hAnsi="Times New Roman" w:cs="Times New Roman"/>
          <w:sz w:val="24"/>
        </w:rPr>
        <w:t xml:space="preserve">In April </w:t>
      </w:r>
      <w:r w:rsidR="00A85B23" w:rsidRPr="004B0DA6">
        <w:rPr>
          <w:rFonts w:ascii="Times New Roman" w:hAnsi="Times New Roman" w:cs="Times New Roman"/>
          <w:sz w:val="24"/>
        </w:rPr>
        <w:t>202</w:t>
      </w:r>
      <w:r w:rsidR="0013633E" w:rsidRPr="004B0DA6">
        <w:rPr>
          <w:rFonts w:ascii="Times New Roman" w:hAnsi="Times New Roman" w:cs="Times New Roman"/>
          <w:sz w:val="24"/>
        </w:rPr>
        <w:t>4</w:t>
      </w:r>
      <w:r w:rsidRPr="004B0DA6">
        <w:rPr>
          <w:rFonts w:ascii="Times New Roman" w:hAnsi="Times New Roman" w:cs="Times New Roman"/>
          <w:sz w:val="24"/>
        </w:rPr>
        <w:t xml:space="preserve">, the City </w:t>
      </w:r>
      <w:proofErr w:type="gramStart"/>
      <w:r w:rsidRPr="004B0DA6">
        <w:rPr>
          <w:rFonts w:ascii="Times New Roman" w:hAnsi="Times New Roman" w:cs="Times New Roman"/>
          <w:sz w:val="24"/>
        </w:rPr>
        <w:t>entered into</w:t>
      </w:r>
      <w:proofErr w:type="gramEnd"/>
      <w:r w:rsidRPr="004B0DA6">
        <w:rPr>
          <w:rFonts w:ascii="Times New Roman" w:hAnsi="Times New Roman" w:cs="Times New Roman"/>
          <w:sz w:val="24"/>
        </w:rPr>
        <w:t xml:space="preserve"> a lease with a coffee vendor.  Under the lease, the coffee vendor pays the City $1,000 per month for sixty months in exchange for operating its business within a 100 square fo</w:t>
      </w:r>
      <w:r w:rsidR="008A0E24" w:rsidRPr="004B0DA6">
        <w:rPr>
          <w:rFonts w:ascii="Times New Roman" w:hAnsi="Times New Roman" w:cs="Times New Roman"/>
          <w:sz w:val="24"/>
        </w:rPr>
        <w:t>ot</w:t>
      </w:r>
      <w:r w:rsidRPr="004B0DA6">
        <w:rPr>
          <w:rFonts w:ascii="Times New Roman" w:hAnsi="Times New Roman" w:cs="Times New Roman"/>
          <w:sz w:val="24"/>
        </w:rPr>
        <w:t xml:space="preserve"> section </w:t>
      </w:r>
      <w:r w:rsidR="008A0E24" w:rsidRPr="004B0DA6">
        <w:rPr>
          <w:rFonts w:ascii="Times New Roman" w:hAnsi="Times New Roman" w:cs="Times New Roman"/>
          <w:sz w:val="24"/>
        </w:rPr>
        <w:t>in</w:t>
      </w:r>
      <w:r w:rsidRPr="004B0DA6">
        <w:rPr>
          <w:rFonts w:ascii="Times New Roman" w:hAnsi="Times New Roman" w:cs="Times New Roman"/>
          <w:sz w:val="24"/>
        </w:rPr>
        <w:t xml:space="preserve"> the lobby </w:t>
      </w:r>
      <w:r w:rsidR="008A0E24" w:rsidRPr="004B0DA6">
        <w:rPr>
          <w:rFonts w:ascii="Times New Roman" w:hAnsi="Times New Roman" w:cs="Times New Roman"/>
          <w:sz w:val="24"/>
        </w:rPr>
        <w:t>of</w:t>
      </w:r>
      <w:r w:rsidRPr="004B0DA6">
        <w:rPr>
          <w:rFonts w:ascii="Times New Roman" w:hAnsi="Times New Roman" w:cs="Times New Roman"/>
          <w:sz w:val="24"/>
        </w:rPr>
        <w:t xml:space="preserve"> the City Hall building.  In months where the</w:t>
      </w:r>
      <w:r w:rsidR="008A0E24" w:rsidRPr="004B0DA6">
        <w:rPr>
          <w:rFonts w:ascii="Times New Roman" w:hAnsi="Times New Roman" w:cs="Times New Roman"/>
          <w:sz w:val="24"/>
        </w:rPr>
        <w:t xml:space="preserve"> </w:t>
      </w:r>
      <w:r w:rsidRPr="004B0DA6">
        <w:rPr>
          <w:rFonts w:ascii="Times New Roman" w:hAnsi="Times New Roman" w:cs="Times New Roman"/>
          <w:sz w:val="24"/>
        </w:rPr>
        <w:t>lessee’s gross revenue from the space exceed</w:t>
      </w:r>
      <w:r w:rsidR="00FC62E4" w:rsidRPr="004B0DA6">
        <w:rPr>
          <w:rFonts w:ascii="Times New Roman" w:hAnsi="Times New Roman" w:cs="Times New Roman"/>
          <w:sz w:val="24"/>
        </w:rPr>
        <w:t>s</w:t>
      </w:r>
      <w:r w:rsidRPr="004B0DA6">
        <w:rPr>
          <w:rFonts w:ascii="Times New Roman" w:hAnsi="Times New Roman" w:cs="Times New Roman"/>
          <w:sz w:val="24"/>
        </w:rPr>
        <w:t xml:space="preserve"> $10,000, the lessee makes an additional variable payment equal to five percent of the excess revenue.</w:t>
      </w:r>
      <w:r w:rsidR="00FA3835" w:rsidRPr="004B0DA6">
        <w:rPr>
          <w:rFonts w:ascii="Times New Roman" w:hAnsi="Times New Roman" w:cs="Times New Roman"/>
          <w:sz w:val="24"/>
        </w:rPr>
        <w:t xml:space="preserve">  The lease receivable is measured as the present value of the future minimum rent payments expected to be received during the lease term at a discount rate of 3%, which is the stated rate in the agreement.</w:t>
      </w:r>
    </w:p>
    <w:bookmarkEnd w:id="12"/>
    <w:p w14:paraId="40E58324" w14:textId="3FE4DFA8" w:rsidR="00FC62E4" w:rsidRPr="004B0DA6" w:rsidRDefault="00FC62E4" w:rsidP="00203597">
      <w:pPr>
        <w:widowControl w:val="0"/>
        <w:spacing w:after="0"/>
        <w:jc w:val="both"/>
        <w:rPr>
          <w:rFonts w:ascii="Times New Roman" w:hAnsi="Times New Roman" w:cs="Times New Roman"/>
          <w:sz w:val="24"/>
        </w:rPr>
      </w:pPr>
    </w:p>
    <w:p w14:paraId="4E917688" w14:textId="77777777" w:rsidR="00AE68BF" w:rsidRPr="004B0DA6" w:rsidRDefault="00AE68BF" w:rsidP="00203597">
      <w:pPr>
        <w:widowControl w:val="0"/>
        <w:spacing w:after="0"/>
        <w:jc w:val="both"/>
        <w:rPr>
          <w:rFonts w:ascii="Times New Roman" w:hAnsi="Times New Roman" w:cs="Times New Roman"/>
          <w:sz w:val="24"/>
        </w:rPr>
      </w:pPr>
      <w:bookmarkStart w:id="13" w:name="_Hlk86307457"/>
    </w:p>
    <w:p w14:paraId="4A65193B" w14:textId="61FC2906" w:rsidR="00FC62E4" w:rsidRPr="004B0DA6" w:rsidRDefault="00FC62E4" w:rsidP="00203597">
      <w:pPr>
        <w:widowControl w:val="0"/>
        <w:spacing w:after="0"/>
        <w:jc w:val="both"/>
        <w:rPr>
          <w:rFonts w:ascii="Times New Roman" w:hAnsi="Times New Roman" w:cs="Times New Roman"/>
          <w:sz w:val="24"/>
        </w:rPr>
      </w:pPr>
      <w:r w:rsidRPr="004B0DA6">
        <w:rPr>
          <w:rFonts w:ascii="Times New Roman" w:hAnsi="Times New Roman" w:cs="Times New Roman"/>
          <w:sz w:val="24"/>
        </w:rPr>
        <w:lastRenderedPageBreak/>
        <w:t xml:space="preserve">In fiscal year </w:t>
      </w:r>
      <w:r w:rsidR="00A85B23" w:rsidRPr="004B0DA6">
        <w:rPr>
          <w:rFonts w:ascii="Times New Roman" w:hAnsi="Times New Roman" w:cs="Times New Roman"/>
          <w:sz w:val="24"/>
        </w:rPr>
        <w:t>202</w:t>
      </w:r>
      <w:r w:rsidR="005541E0" w:rsidRPr="004B0DA6">
        <w:rPr>
          <w:rFonts w:ascii="Times New Roman" w:hAnsi="Times New Roman" w:cs="Times New Roman"/>
          <w:sz w:val="24"/>
        </w:rPr>
        <w:t>4</w:t>
      </w:r>
      <w:r w:rsidRPr="004B0DA6">
        <w:rPr>
          <w:rFonts w:ascii="Times New Roman" w:hAnsi="Times New Roman" w:cs="Times New Roman"/>
          <w:sz w:val="24"/>
        </w:rPr>
        <w:t>, the City recognized $2,790 of lease revenue and $</w:t>
      </w:r>
      <w:r w:rsidR="00DB114D" w:rsidRPr="004B0DA6">
        <w:rPr>
          <w:rFonts w:ascii="Times New Roman" w:hAnsi="Times New Roman" w:cs="Times New Roman"/>
          <w:sz w:val="24"/>
        </w:rPr>
        <w:t>398</w:t>
      </w:r>
      <w:r w:rsidRPr="004B0DA6">
        <w:rPr>
          <w:rFonts w:ascii="Times New Roman" w:hAnsi="Times New Roman" w:cs="Times New Roman"/>
          <w:sz w:val="24"/>
        </w:rPr>
        <w:t xml:space="preserve"> of interest revenue under the lease.  In addition, the City recognized $351 in variable lease revenue equal to five percent of the lessee’s reported excess revenue during the year.</w:t>
      </w:r>
    </w:p>
    <w:p w14:paraId="205F5C51" w14:textId="09925190" w:rsidR="00681DE5" w:rsidRPr="004B0DA6" w:rsidRDefault="00681DE5" w:rsidP="00203597">
      <w:pPr>
        <w:widowControl w:val="0"/>
        <w:spacing w:after="0"/>
        <w:jc w:val="both"/>
        <w:rPr>
          <w:rFonts w:ascii="Times New Roman" w:hAnsi="Times New Roman" w:cs="Times New Roman"/>
          <w:sz w:val="24"/>
        </w:rPr>
      </w:pPr>
    </w:p>
    <w:p w14:paraId="48F6EA8F" w14:textId="77777777" w:rsidR="00681DE5" w:rsidRPr="004B0DA6" w:rsidRDefault="00681DE5" w:rsidP="00203597">
      <w:pPr>
        <w:widowControl w:val="0"/>
        <w:spacing w:after="0"/>
        <w:jc w:val="both"/>
        <w:rPr>
          <w:rFonts w:ascii="Times New Roman" w:hAnsi="Times New Roman" w:cs="Times New Roman"/>
          <w:sz w:val="24"/>
          <w:u w:val="single"/>
        </w:rPr>
      </w:pPr>
    </w:p>
    <w:p w14:paraId="385575B8" w14:textId="77777777" w:rsidR="00681DE5" w:rsidRPr="004B0DA6" w:rsidRDefault="00681DE5" w:rsidP="00203597">
      <w:pPr>
        <w:widowControl w:val="0"/>
        <w:spacing w:after="0"/>
        <w:jc w:val="both"/>
        <w:rPr>
          <w:rFonts w:ascii="Times New Roman" w:hAnsi="Times New Roman" w:cs="Times New Roman"/>
          <w:sz w:val="24"/>
          <w:u w:val="single"/>
        </w:rPr>
      </w:pPr>
    </w:p>
    <w:p w14:paraId="14C2D67C" w14:textId="77777777" w:rsidR="00681DE5" w:rsidRPr="004B0DA6" w:rsidRDefault="00681DE5" w:rsidP="00203597">
      <w:pPr>
        <w:widowControl w:val="0"/>
        <w:spacing w:after="0"/>
        <w:jc w:val="both"/>
        <w:rPr>
          <w:rFonts w:ascii="Times New Roman" w:hAnsi="Times New Roman" w:cs="Times New Roman"/>
          <w:sz w:val="24"/>
          <w:u w:val="single"/>
        </w:rPr>
      </w:pPr>
    </w:p>
    <w:p w14:paraId="69EC6B6D" w14:textId="77777777" w:rsidR="00681DE5" w:rsidRPr="004B0DA6" w:rsidRDefault="00681DE5" w:rsidP="00203597">
      <w:pPr>
        <w:widowControl w:val="0"/>
        <w:spacing w:after="0"/>
        <w:jc w:val="both"/>
        <w:rPr>
          <w:rFonts w:ascii="Times New Roman" w:hAnsi="Times New Roman" w:cs="Times New Roman"/>
          <w:sz w:val="24"/>
          <w:u w:val="single"/>
        </w:rPr>
      </w:pPr>
    </w:p>
    <w:p w14:paraId="57A0AA35" w14:textId="77777777" w:rsidR="00681DE5" w:rsidRPr="004B0DA6" w:rsidRDefault="00681DE5" w:rsidP="00203597">
      <w:pPr>
        <w:widowControl w:val="0"/>
        <w:spacing w:after="0"/>
        <w:jc w:val="both"/>
        <w:rPr>
          <w:rFonts w:ascii="Times New Roman" w:hAnsi="Times New Roman" w:cs="Times New Roman"/>
          <w:sz w:val="24"/>
          <w:u w:val="single"/>
        </w:rPr>
      </w:pPr>
    </w:p>
    <w:p w14:paraId="4A1F6F9A" w14:textId="77777777" w:rsidR="00681DE5" w:rsidRPr="004B0DA6" w:rsidRDefault="00681DE5" w:rsidP="00203597">
      <w:pPr>
        <w:widowControl w:val="0"/>
        <w:spacing w:after="0"/>
        <w:jc w:val="both"/>
        <w:rPr>
          <w:rFonts w:ascii="Times New Roman" w:hAnsi="Times New Roman" w:cs="Times New Roman"/>
          <w:sz w:val="24"/>
          <w:u w:val="single"/>
        </w:rPr>
      </w:pPr>
    </w:p>
    <w:p w14:paraId="0834AC19" w14:textId="77777777" w:rsidR="00681DE5" w:rsidRPr="004B0DA6" w:rsidRDefault="00681DE5" w:rsidP="00203597">
      <w:pPr>
        <w:widowControl w:val="0"/>
        <w:spacing w:after="0"/>
        <w:jc w:val="both"/>
        <w:rPr>
          <w:rFonts w:ascii="Times New Roman" w:hAnsi="Times New Roman" w:cs="Times New Roman"/>
          <w:sz w:val="24"/>
          <w:u w:val="single"/>
        </w:rPr>
      </w:pPr>
    </w:p>
    <w:p w14:paraId="070030EA" w14:textId="77777777" w:rsidR="00681DE5" w:rsidRPr="004B0DA6" w:rsidRDefault="00681DE5" w:rsidP="00203597">
      <w:pPr>
        <w:widowControl w:val="0"/>
        <w:spacing w:after="0"/>
        <w:jc w:val="both"/>
        <w:rPr>
          <w:rFonts w:ascii="Times New Roman" w:hAnsi="Times New Roman" w:cs="Times New Roman"/>
          <w:sz w:val="24"/>
          <w:u w:val="single"/>
        </w:rPr>
      </w:pPr>
    </w:p>
    <w:p w14:paraId="032A819D" w14:textId="77777777" w:rsidR="00681DE5" w:rsidRPr="004B0DA6" w:rsidRDefault="00681DE5" w:rsidP="00203597">
      <w:pPr>
        <w:widowControl w:val="0"/>
        <w:spacing w:after="0"/>
        <w:jc w:val="both"/>
        <w:rPr>
          <w:rFonts w:ascii="Times New Roman" w:hAnsi="Times New Roman" w:cs="Times New Roman"/>
          <w:sz w:val="24"/>
          <w:u w:val="single"/>
        </w:rPr>
      </w:pPr>
    </w:p>
    <w:p w14:paraId="7484AE22" w14:textId="77777777" w:rsidR="00681DE5" w:rsidRPr="004B0DA6" w:rsidRDefault="00681DE5" w:rsidP="00203597">
      <w:pPr>
        <w:widowControl w:val="0"/>
        <w:spacing w:after="0"/>
        <w:jc w:val="both"/>
        <w:rPr>
          <w:rFonts w:ascii="Times New Roman" w:hAnsi="Times New Roman" w:cs="Times New Roman"/>
          <w:sz w:val="24"/>
          <w:u w:val="single"/>
        </w:rPr>
      </w:pPr>
    </w:p>
    <w:p w14:paraId="5FEAD1BB" w14:textId="77777777" w:rsidR="00681DE5" w:rsidRPr="004B0DA6" w:rsidRDefault="00681DE5" w:rsidP="00203597">
      <w:pPr>
        <w:widowControl w:val="0"/>
        <w:spacing w:after="0"/>
        <w:jc w:val="both"/>
        <w:rPr>
          <w:rFonts w:ascii="Times New Roman" w:hAnsi="Times New Roman" w:cs="Times New Roman"/>
          <w:sz w:val="24"/>
          <w:u w:val="single"/>
        </w:rPr>
      </w:pPr>
    </w:p>
    <w:p w14:paraId="290FC855" w14:textId="77777777" w:rsidR="00681DE5" w:rsidRPr="004B0DA6" w:rsidRDefault="00681DE5" w:rsidP="00203597">
      <w:pPr>
        <w:widowControl w:val="0"/>
        <w:spacing w:after="0"/>
        <w:jc w:val="both"/>
        <w:rPr>
          <w:rFonts w:ascii="Times New Roman" w:hAnsi="Times New Roman" w:cs="Times New Roman"/>
          <w:sz w:val="24"/>
          <w:u w:val="single"/>
        </w:rPr>
      </w:pPr>
    </w:p>
    <w:p w14:paraId="565D48B8" w14:textId="77777777" w:rsidR="00681DE5" w:rsidRPr="004B0DA6" w:rsidRDefault="00681DE5" w:rsidP="00203597">
      <w:pPr>
        <w:widowControl w:val="0"/>
        <w:spacing w:after="0"/>
        <w:jc w:val="both"/>
        <w:rPr>
          <w:rFonts w:ascii="Times New Roman" w:hAnsi="Times New Roman" w:cs="Times New Roman"/>
          <w:sz w:val="24"/>
          <w:u w:val="single"/>
        </w:rPr>
      </w:pPr>
    </w:p>
    <w:p w14:paraId="620C83A9" w14:textId="77777777" w:rsidR="00681DE5" w:rsidRPr="004B0DA6" w:rsidRDefault="00681DE5" w:rsidP="00203597">
      <w:pPr>
        <w:widowControl w:val="0"/>
        <w:spacing w:after="0"/>
        <w:jc w:val="both"/>
        <w:rPr>
          <w:rFonts w:ascii="Times New Roman" w:hAnsi="Times New Roman" w:cs="Times New Roman"/>
          <w:sz w:val="24"/>
          <w:u w:val="single"/>
        </w:rPr>
      </w:pPr>
    </w:p>
    <w:p w14:paraId="1CB26F5A" w14:textId="77777777" w:rsidR="00681DE5" w:rsidRPr="004B0DA6" w:rsidRDefault="00681DE5" w:rsidP="00203597">
      <w:pPr>
        <w:widowControl w:val="0"/>
        <w:spacing w:after="0"/>
        <w:jc w:val="both"/>
        <w:rPr>
          <w:rFonts w:ascii="Times New Roman" w:hAnsi="Times New Roman" w:cs="Times New Roman"/>
          <w:sz w:val="24"/>
          <w:u w:val="single"/>
        </w:rPr>
      </w:pPr>
    </w:p>
    <w:p w14:paraId="6FC5327C" w14:textId="77777777" w:rsidR="00681DE5" w:rsidRPr="004B0DA6" w:rsidRDefault="00681DE5" w:rsidP="00203597">
      <w:pPr>
        <w:widowControl w:val="0"/>
        <w:spacing w:after="0"/>
        <w:jc w:val="both"/>
        <w:rPr>
          <w:rFonts w:ascii="Times New Roman" w:hAnsi="Times New Roman" w:cs="Times New Roman"/>
          <w:sz w:val="24"/>
          <w:u w:val="single"/>
        </w:rPr>
      </w:pPr>
    </w:p>
    <w:p w14:paraId="495803FF" w14:textId="77777777" w:rsidR="00681DE5" w:rsidRPr="004B0DA6" w:rsidRDefault="00681DE5" w:rsidP="00203597">
      <w:pPr>
        <w:widowControl w:val="0"/>
        <w:spacing w:after="0"/>
        <w:jc w:val="both"/>
        <w:rPr>
          <w:rFonts w:ascii="Times New Roman" w:hAnsi="Times New Roman" w:cs="Times New Roman"/>
          <w:sz w:val="24"/>
          <w:u w:val="single"/>
        </w:rPr>
      </w:pPr>
    </w:p>
    <w:p w14:paraId="5FAAB5FD" w14:textId="77777777" w:rsidR="00681DE5" w:rsidRPr="004B0DA6" w:rsidRDefault="00681DE5" w:rsidP="00203597">
      <w:pPr>
        <w:widowControl w:val="0"/>
        <w:spacing w:after="0"/>
        <w:jc w:val="both"/>
        <w:rPr>
          <w:rFonts w:ascii="Times New Roman" w:hAnsi="Times New Roman" w:cs="Times New Roman"/>
          <w:sz w:val="24"/>
          <w:u w:val="single"/>
        </w:rPr>
      </w:pPr>
    </w:p>
    <w:p w14:paraId="02669800" w14:textId="77777777" w:rsidR="006F3DC8" w:rsidRPr="004B0DA6" w:rsidRDefault="006F3DC8" w:rsidP="006F3DC8">
      <w:pPr>
        <w:spacing w:after="0"/>
        <w:jc w:val="center"/>
        <w:rPr>
          <w:rFonts w:ascii="Times New Roman" w:hAnsi="Times New Roman" w:cs="Times New Roman"/>
        </w:rPr>
      </w:pPr>
      <w:r w:rsidRPr="004B0DA6">
        <w:rPr>
          <w:rFonts w:ascii="Times New Roman" w:hAnsi="Times New Roman" w:cs="Times New Roman"/>
        </w:rPr>
        <w:t>(Continued on next page)</w:t>
      </w:r>
    </w:p>
    <w:p w14:paraId="383DA881" w14:textId="77777777" w:rsidR="00681DE5" w:rsidRPr="004B0DA6" w:rsidRDefault="00681DE5" w:rsidP="00203597">
      <w:pPr>
        <w:widowControl w:val="0"/>
        <w:spacing w:after="0"/>
        <w:jc w:val="both"/>
        <w:rPr>
          <w:rFonts w:ascii="Times New Roman" w:hAnsi="Times New Roman" w:cs="Times New Roman"/>
          <w:sz w:val="24"/>
          <w:u w:val="single"/>
        </w:rPr>
      </w:pPr>
    </w:p>
    <w:p w14:paraId="42066A19" w14:textId="77777777" w:rsidR="00681DE5" w:rsidRPr="004B0DA6" w:rsidRDefault="00681DE5" w:rsidP="00203597">
      <w:pPr>
        <w:widowControl w:val="0"/>
        <w:spacing w:after="0"/>
        <w:jc w:val="both"/>
        <w:rPr>
          <w:rFonts w:ascii="Times New Roman" w:hAnsi="Times New Roman" w:cs="Times New Roman"/>
          <w:sz w:val="24"/>
          <w:u w:val="single"/>
        </w:rPr>
      </w:pPr>
    </w:p>
    <w:p w14:paraId="0F326B7F" w14:textId="77777777" w:rsidR="00681DE5" w:rsidRPr="004B0DA6" w:rsidRDefault="00681DE5" w:rsidP="00203597">
      <w:pPr>
        <w:widowControl w:val="0"/>
        <w:spacing w:after="0"/>
        <w:jc w:val="both"/>
        <w:rPr>
          <w:rFonts w:ascii="Times New Roman" w:hAnsi="Times New Roman" w:cs="Times New Roman"/>
          <w:sz w:val="24"/>
          <w:u w:val="single"/>
        </w:rPr>
      </w:pPr>
    </w:p>
    <w:p w14:paraId="2A1EB265" w14:textId="77777777" w:rsidR="00681DE5" w:rsidRPr="004B0DA6" w:rsidRDefault="00681DE5" w:rsidP="00203597">
      <w:pPr>
        <w:widowControl w:val="0"/>
        <w:spacing w:after="0"/>
        <w:jc w:val="both"/>
        <w:rPr>
          <w:rFonts w:ascii="Times New Roman" w:hAnsi="Times New Roman" w:cs="Times New Roman"/>
          <w:sz w:val="24"/>
          <w:u w:val="single"/>
        </w:rPr>
      </w:pPr>
    </w:p>
    <w:p w14:paraId="2406CECA" w14:textId="77777777" w:rsidR="00681DE5" w:rsidRPr="004B0DA6" w:rsidRDefault="00681DE5" w:rsidP="00203597">
      <w:pPr>
        <w:widowControl w:val="0"/>
        <w:spacing w:after="0"/>
        <w:jc w:val="both"/>
        <w:rPr>
          <w:rFonts w:ascii="Times New Roman" w:hAnsi="Times New Roman" w:cs="Times New Roman"/>
          <w:sz w:val="24"/>
          <w:u w:val="single"/>
        </w:rPr>
      </w:pPr>
    </w:p>
    <w:p w14:paraId="5E2F86C3" w14:textId="77777777" w:rsidR="00681DE5" w:rsidRPr="004B0DA6" w:rsidRDefault="00681DE5" w:rsidP="00203597">
      <w:pPr>
        <w:widowControl w:val="0"/>
        <w:spacing w:after="0"/>
        <w:jc w:val="both"/>
        <w:rPr>
          <w:rFonts w:ascii="Times New Roman" w:hAnsi="Times New Roman" w:cs="Times New Roman"/>
          <w:sz w:val="24"/>
          <w:u w:val="single"/>
        </w:rPr>
      </w:pPr>
    </w:p>
    <w:p w14:paraId="3D704CD4" w14:textId="77777777" w:rsidR="00681DE5" w:rsidRPr="004B0DA6" w:rsidRDefault="00681DE5" w:rsidP="00203597">
      <w:pPr>
        <w:widowControl w:val="0"/>
        <w:spacing w:after="0"/>
        <w:jc w:val="both"/>
        <w:rPr>
          <w:rFonts w:ascii="Times New Roman" w:hAnsi="Times New Roman" w:cs="Times New Roman"/>
          <w:sz w:val="24"/>
          <w:u w:val="single"/>
        </w:rPr>
      </w:pPr>
    </w:p>
    <w:p w14:paraId="732A34B6" w14:textId="77777777" w:rsidR="00681DE5" w:rsidRPr="004B0DA6" w:rsidRDefault="00681DE5" w:rsidP="00203597">
      <w:pPr>
        <w:widowControl w:val="0"/>
        <w:spacing w:after="0"/>
        <w:jc w:val="both"/>
        <w:rPr>
          <w:rFonts w:ascii="Times New Roman" w:hAnsi="Times New Roman" w:cs="Times New Roman"/>
          <w:sz w:val="24"/>
          <w:u w:val="single"/>
        </w:rPr>
      </w:pPr>
    </w:p>
    <w:p w14:paraId="511BBAC3" w14:textId="77777777" w:rsidR="00681DE5" w:rsidRPr="004B0DA6" w:rsidRDefault="00681DE5" w:rsidP="00203597">
      <w:pPr>
        <w:widowControl w:val="0"/>
        <w:spacing w:after="0"/>
        <w:jc w:val="both"/>
        <w:rPr>
          <w:rFonts w:ascii="Times New Roman" w:hAnsi="Times New Roman" w:cs="Times New Roman"/>
          <w:sz w:val="24"/>
          <w:u w:val="single"/>
        </w:rPr>
      </w:pPr>
    </w:p>
    <w:p w14:paraId="27C4BB45" w14:textId="77777777" w:rsidR="00681DE5" w:rsidRPr="004B0DA6" w:rsidRDefault="00681DE5" w:rsidP="00203597">
      <w:pPr>
        <w:widowControl w:val="0"/>
        <w:spacing w:after="0"/>
        <w:jc w:val="both"/>
        <w:rPr>
          <w:rFonts w:ascii="Times New Roman" w:hAnsi="Times New Roman" w:cs="Times New Roman"/>
          <w:sz w:val="24"/>
          <w:u w:val="single"/>
        </w:rPr>
      </w:pPr>
    </w:p>
    <w:p w14:paraId="4FAF5BAD" w14:textId="77777777" w:rsidR="00337CC4" w:rsidRPr="004B0DA6" w:rsidRDefault="00337CC4" w:rsidP="00203597">
      <w:pPr>
        <w:widowControl w:val="0"/>
        <w:spacing w:after="0"/>
        <w:jc w:val="both"/>
        <w:rPr>
          <w:rFonts w:ascii="Times New Roman" w:hAnsi="Times New Roman" w:cs="Times New Roman"/>
          <w:sz w:val="24"/>
          <w:u w:val="single"/>
        </w:rPr>
      </w:pPr>
    </w:p>
    <w:p w14:paraId="248BC3DF" w14:textId="77777777" w:rsidR="00337CC4" w:rsidRPr="004B0DA6" w:rsidRDefault="00337CC4" w:rsidP="00203597">
      <w:pPr>
        <w:widowControl w:val="0"/>
        <w:spacing w:after="0"/>
        <w:jc w:val="both"/>
        <w:rPr>
          <w:rFonts w:ascii="Times New Roman" w:hAnsi="Times New Roman" w:cs="Times New Roman"/>
          <w:sz w:val="24"/>
          <w:u w:val="single"/>
        </w:rPr>
      </w:pPr>
    </w:p>
    <w:p w14:paraId="5D6DA708" w14:textId="77777777" w:rsidR="00337CC4" w:rsidRPr="004B0DA6" w:rsidRDefault="00337CC4" w:rsidP="00203597">
      <w:pPr>
        <w:widowControl w:val="0"/>
        <w:spacing w:after="0"/>
        <w:jc w:val="both"/>
        <w:rPr>
          <w:rFonts w:ascii="Times New Roman" w:hAnsi="Times New Roman" w:cs="Times New Roman"/>
          <w:sz w:val="24"/>
          <w:u w:val="single"/>
        </w:rPr>
      </w:pPr>
    </w:p>
    <w:p w14:paraId="71D27C73" w14:textId="77777777" w:rsidR="00337CC4" w:rsidRPr="004B0DA6" w:rsidRDefault="00337CC4" w:rsidP="00203597">
      <w:pPr>
        <w:widowControl w:val="0"/>
        <w:spacing w:after="0"/>
        <w:jc w:val="both"/>
        <w:rPr>
          <w:rFonts w:ascii="Times New Roman" w:hAnsi="Times New Roman" w:cs="Times New Roman"/>
          <w:sz w:val="24"/>
          <w:u w:val="single"/>
        </w:rPr>
      </w:pPr>
    </w:p>
    <w:p w14:paraId="38048E2A" w14:textId="77777777" w:rsidR="00337CC4" w:rsidRPr="004B0DA6" w:rsidRDefault="00337CC4" w:rsidP="00203597">
      <w:pPr>
        <w:widowControl w:val="0"/>
        <w:spacing w:after="0"/>
        <w:jc w:val="both"/>
        <w:rPr>
          <w:rFonts w:ascii="Times New Roman" w:hAnsi="Times New Roman" w:cs="Times New Roman"/>
          <w:sz w:val="24"/>
          <w:u w:val="single"/>
        </w:rPr>
      </w:pPr>
    </w:p>
    <w:p w14:paraId="2DC7A66F" w14:textId="77777777" w:rsidR="00337CC4" w:rsidRPr="004B0DA6" w:rsidRDefault="00337CC4" w:rsidP="00203597">
      <w:pPr>
        <w:widowControl w:val="0"/>
        <w:spacing w:after="0"/>
        <w:jc w:val="both"/>
        <w:rPr>
          <w:rFonts w:ascii="Times New Roman" w:hAnsi="Times New Roman" w:cs="Times New Roman"/>
          <w:sz w:val="24"/>
          <w:u w:val="single"/>
        </w:rPr>
      </w:pPr>
    </w:p>
    <w:p w14:paraId="4D68C241" w14:textId="77777777" w:rsidR="00337CC4" w:rsidRPr="004B0DA6" w:rsidRDefault="00337CC4" w:rsidP="00203597">
      <w:pPr>
        <w:widowControl w:val="0"/>
        <w:spacing w:after="0"/>
        <w:jc w:val="both"/>
        <w:rPr>
          <w:rFonts w:ascii="Times New Roman" w:hAnsi="Times New Roman" w:cs="Times New Roman"/>
          <w:sz w:val="24"/>
          <w:u w:val="single"/>
        </w:rPr>
      </w:pPr>
    </w:p>
    <w:p w14:paraId="27C8D425" w14:textId="77777777" w:rsidR="00337CC4" w:rsidRPr="004B0DA6" w:rsidRDefault="00337CC4" w:rsidP="00203597">
      <w:pPr>
        <w:widowControl w:val="0"/>
        <w:spacing w:after="0"/>
        <w:jc w:val="both"/>
        <w:rPr>
          <w:rFonts w:ascii="Times New Roman" w:hAnsi="Times New Roman" w:cs="Times New Roman"/>
          <w:sz w:val="24"/>
          <w:u w:val="single"/>
        </w:rPr>
      </w:pPr>
    </w:p>
    <w:p w14:paraId="5CBE216E" w14:textId="77777777" w:rsidR="00681DE5" w:rsidRPr="004B0DA6" w:rsidRDefault="00681DE5" w:rsidP="00203597">
      <w:pPr>
        <w:widowControl w:val="0"/>
        <w:spacing w:after="0"/>
        <w:jc w:val="both"/>
        <w:rPr>
          <w:rFonts w:ascii="Times New Roman" w:hAnsi="Times New Roman" w:cs="Times New Roman"/>
          <w:sz w:val="24"/>
          <w:u w:val="single"/>
        </w:rPr>
      </w:pPr>
    </w:p>
    <w:p w14:paraId="219A0BAB" w14:textId="77777777" w:rsidR="00681DE5" w:rsidRPr="004B0DA6" w:rsidRDefault="00681DE5" w:rsidP="00203597">
      <w:pPr>
        <w:widowControl w:val="0"/>
        <w:spacing w:after="0"/>
        <w:jc w:val="both"/>
        <w:rPr>
          <w:rFonts w:ascii="Times New Roman" w:hAnsi="Times New Roman" w:cs="Times New Roman"/>
          <w:sz w:val="24"/>
          <w:u w:val="single"/>
        </w:rPr>
      </w:pPr>
    </w:p>
    <w:p w14:paraId="6A854E2A" w14:textId="6DD4B58E" w:rsidR="00681DE5" w:rsidRPr="004B0DA6" w:rsidRDefault="00681DE5" w:rsidP="00203597">
      <w:pPr>
        <w:widowControl w:val="0"/>
        <w:spacing w:after="0"/>
        <w:jc w:val="both"/>
        <w:rPr>
          <w:rFonts w:ascii="Times New Roman" w:hAnsi="Times New Roman" w:cs="Times New Roman"/>
          <w:sz w:val="24"/>
          <w:u w:val="single"/>
        </w:rPr>
      </w:pPr>
      <w:r w:rsidRPr="004B0DA6">
        <w:rPr>
          <w:rFonts w:ascii="Times New Roman" w:hAnsi="Times New Roman" w:cs="Times New Roman"/>
          <w:sz w:val="24"/>
          <w:u w:val="single"/>
        </w:rPr>
        <w:lastRenderedPageBreak/>
        <w:t xml:space="preserve">5. Capital Assets </w:t>
      </w:r>
    </w:p>
    <w:p w14:paraId="0C49ABA4" w14:textId="77777777" w:rsidR="00681DE5" w:rsidRPr="004B0DA6" w:rsidRDefault="00681DE5" w:rsidP="00203597">
      <w:pPr>
        <w:widowControl w:val="0"/>
        <w:spacing w:after="0"/>
        <w:jc w:val="both"/>
        <w:rPr>
          <w:rFonts w:ascii="Times New Roman" w:hAnsi="Times New Roman" w:cs="Times New Roman"/>
          <w:sz w:val="24"/>
          <w:u w:val="single"/>
        </w:rPr>
      </w:pPr>
    </w:p>
    <w:p w14:paraId="1C7C6CCE" w14:textId="61D500F4" w:rsidR="00681DE5" w:rsidRPr="004B0DA6" w:rsidRDefault="00681DE5" w:rsidP="00203597">
      <w:pPr>
        <w:widowControl w:val="0"/>
        <w:spacing w:after="0"/>
        <w:jc w:val="both"/>
        <w:rPr>
          <w:rFonts w:ascii="Times New Roman" w:hAnsi="Times New Roman" w:cs="Times New Roman"/>
          <w:sz w:val="24"/>
        </w:rPr>
      </w:pPr>
      <w:r w:rsidRPr="004B0DA6">
        <w:rPr>
          <w:rFonts w:ascii="Times New Roman" w:hAnsi="Times New Roman" w:cs="Times New Roman"/>
          <w:b/>
          <w:bCs/>
          <w:sz w:val="24"/>
        </w:rPr>
        <w:t>Primary Government</w:t>
      </w:r>
      <w:r w:rsidRPr="004B0DA6">
        <w:rPr>
          <w:rFonts w:ascii="Times New Roman" w:hAnsi="Times New Roman" w:cs="Times New Roman"/>
          <w:sz w:val="24"/>
        </w:rPr>
        <w:t xml:space="preserve"> </w:t>
      </w:r>
    </w:p>
    <w:p w14:paraId="43928574" w14:textId="77777777" w:rsidR="006F3DC8" w:rsidRPr="004B0DA6" w:rsidRDefault="006F3DC8" w:rsidP="00203597">
      <w:pPr>
        <w:widowControl w:val="0"/>
        <w:spacing w:after="0"/>
        <w:jc w:val="both"/>
        <w:rPr>
          <w:rFonts w:ascii="Times New Roman" w:hAnsi="Times New Roman" w:cs="Times New Roman"/>
          <w:sz w:val="24"/>
        </w:rPr>
      </w:pPr>
    </w:p>
    <w:p w14:paraId="45707501" w14:textId="21BEA805" w:rsidR="006F3DC8" w:rsidRPr="004B0DA6" w:rsidRDefault="00681DE5" w:rsidP="00203597">
      <w:pPr>
        <w:widowControl w:val="0"/>
        <w:spacing w:after="0"/>
        <w:jc w:val="both"/>
        <w:rPr>
          <w:rFonts w:ascii="Times New Roman" w:hAnsi="Times New Roman" w:cs="Times New Roman"/>
          <w:sz w:val="24"/>
        </w:rPr>
      </w:pPr>
      <w:r w:rsidRPr="004B0DA6">
        <w:rPr>
          <w:rFonts w:ascii="Times New Roman" w:hAnsi="Times New Roman" w:cs="Times New Roman"/>
        </w:rPr>
        <w:t>Capital asset activity for the Primary Government for the year ended June 30, 202</w:t>
      </w:r>
      <w:r w:rsidR="00337CC4" w:rsidRPr="004B0DA6">
        <w:rPr>
          <w:rFonts w:ascii="Times New Roman" w:hAnsi="Times New Roman" w:cs="Times New Roman"/>
        </w:rPr>
        <w:t>4</w:t>
      </w:r>
      <w:r w:rsidRPr="004B0DA6">
        <w:rPr>
          <w:rFonts w:ascii="Times New Roman" w:hAnsi="Times New Roman" w:cs="Times New Roman"/>
        </w:rPr>
        <w:t>, was as</w:t>
      </w:r>
      <w:r w:rsidRPr="004B0DA6">
        <w:rPr>
          <w:rFonts w:ascii="Times New Roman" w:hAnsi="Times New Roman" w:cs="Times New Roman"/>
          <w:sz w:val="24"/>
        </w:rPr>
        <w:t xml:space="preserve"> follows</w:t>
      </w:r>
      <w:r w:rsidR="006F3DC8" w:rsidRPr="004B0DA6">
        <w:rPr>
          <w:rFonts w:ascii="Times New Roman" w:hAnsi="Times New Roman" w:cs="Times New Roman"/>
          <w:sz w:val="24"/>
        </w:rPr>
        <w:t>:</w:t>
      </w:r>
    </w:p>
    <w:p w14:paraId="5BA1A66E" w14:textId="6DE00836" w:rsidR="006F3DC8" w:rsidRPr="004B0DA6" w:rsidRDefault="00234F1C" w:rsidP="00203597">
      <w:pPr>
        <w:widowControl w:val="0"/>
        <w:spacing w:after="0"/>
        <w:jc w:val="both"/>
        <w:rPr>
          <w:rFonts w:ascii="Times New Roman" w:hAnsi="Times New Roman" w:cs="Times New Roman"/>
          <w:sz w:val="24"/>
        </w:rPr>
      </w:pPr>
      <w:r>
        <w:rPr>
          <w:rFonts w:ascii="Times New Roman" w:hAnsi="Times New Roman" w:cs="Times New Roman"/>
          <w:noProof/>
        </w:rPr>
        <w:object w:dxaOrig="1440" w:dyaOrig="1440" w14:anchorId="16139B5C">
          <v:shape id="_x0000_s2140" type="#_x0000_t75" style="position:absolute;left:0;text-align:left;margin-left:-30.65pt;margin-top:22.45pt;width:540.6pt;height:553.25pt;z-index:251700224;mso-position-vertical-relative:text">
            <v:imagedata r:id="rId24" o:title=""/>
            <w10:wrap type="topAndBottom"/>
          </v:shape>
          <o:OLEObject Type="Embed" ProgID="Excel.Sheet.8" ShapeID="_x0000_s2140" DrawAspect="Content" ObjectID="_1793012043" r:id="rId25"/>
        </w:object>
      </w:r>
    </w:p>
    <w:p w14:paraId="13E225C0" w14:textId="77777777" w:rsidR="00C245B5" w:rsidRPr="004B0DA6" w:rsidRDefault="00C245B5" w:rsidP="00203597">
      <w:pPr>
        <w:widowControl w:val="0"/>
        <w:spacing w:after="0"/>
        <w:jc w:val="both"/>
        <w:rPr>
          <w:rFonts w:ascii="Times New Roman" w:hAnsi="Times New Roman" w:cs="Times New Roman"/>
          <w:sz w:val="24"/>
        </w:rPr>
      </w:pPr>
    </w:p>
    <w:p w14:paraId="3FC97813" w14:textId="77777777" w:rsidR="00C245B5" w:rsidRPr="004B0DA6" w:rsidRDefault="00C245B5" w:rsidP="00203597">
      <w:pPr>
        <w:widowControl w:val="0"/>
        <w:spacing w:after="0"/>
        <w:jc w:val="both"/>
        <w:rPr>
          <w:rFonts w:ascii="Times New Roman" w:hAnsi="Times New Roman" w:cs="Times New Roman"/>
          <w:sz w:val="24"/>
        </w:rPr>
      </w:pPr>
    </w:p>
    <w:p w14:paraId="69D7EB73" w14:textId="77777777" w:rsidR="00C245B5" w:rsidRPr="004B0DA6" w:rsidRDefault="00C245B5" w:rsidP="00203597">
      <w:pPr>
        <w:widowControl w:val="0"/>
        <w:spacing w:after="0"/>
        <w:jc w:val="both"/>
        <w:rPr>
          <w:rFonts w:ascii="Times New Roman" w:hAnsi="Times New Roman" w:cs="Times New Roman"/>
          <w:sz w:val="24"/>
        </w:rPr>
      </w:pPr>
    </w:p>
    <w:p w14:paraId="7C34B3DA" w14:textId="77777777" w:rsidR="00C245B5" w:rsidRPr="004B0DA6" w:rsidRDefault="00C245B5" w:rsidP="00203597">
      <w:pPr>
        <w:widowControl w:val="0"/>
        <w:spacing w:after="0"/>
        <w:jc w:val="both"/>
        <w:rPr>
          <w:rFonts w:ascii="Times New Roman" w:hAnsi="Times New Roman" w:cs="Times New Roman"/>
          <w:sz w:val="24"/>
        </w:rPr>
      </w:pPr>
    </w:p>
    <w:p w14:paraId="28186D93" w14:textId="4A6ABF2B" w:rsidR="00681DE5" w:rsidRPr="004B0DA6" w:rsidRDefault="006F3DC8" w:rsidP="00203597">
      <w:pPr>
        <w:widowControl w:val="0"/>
        <w:spacing w:after="0"/>
        <w:jc w:val="both"/>
        <w:rPr>
          <w:rFonts w:ascii="Times New Roman" w:hAnsi="Times New Roman" w:cs="Times New Roman"/>
          <w:sz w:val="24"/>
        </w:rPr>
      </w:pPr>
      <w:r w:rsidRPr="004B0DA6">
        <w:rPr>
          <w:rFonts w:ascii="Times New Roman" w:hAnsi="Times New Roman" w:cs="Times New Roman"/>
          <w:sz w:val="24"/>
        </w:rPr>
        <w:t xml:space="preserve">Depreciation expense was charged to functions or programs of the primary </w:t>
      </w:r>
      <w:r w:rsidR="00681DE5" w:rsidRPr="004B0DA6">
        <w:rPr>
          <w:rFonts w:ascii="Times New Roman" w:hAnsi="Times New Roman" w:cs="Times New Roman"/>
          <w:sz w:val="24"/>
        </w:rPr>
        <w:t>government as follows</w:t>
      </w:r>
      <w:bookmarkEnd w:id="11"/>
      <w:bookmarkEnd w:id="13"/>
      <w:r w:rsidRPr="004B0DA6">
        <w:rPr>
          <w:rFonts w:ascii="Times New Roman" w:hAnsi="Times New Roman" w:cs="Times New Roman"/>
          <w:sz w:val="24"/>
        </w:rPr>
        <w:t>:</w:t>
      </w:r>
    </w:p>
    <w:p w14:paraId="32F1B198" w14:textId="3075A787" w:rsidR="00B073B3" w:rsidRPr="004B0DA6" w:rsidRDefault="00B073B3" w:rsidP="00203597">
      <w:pPr>
        <w:widowControl w:val="0"/>
        <w:spacing w:after="0"/>
        <w:jc w:val="both"/>
        <w:rPr>
          <w:rFonts w:ascii="Times New Roman" w:hAnsi="Times New Roman" w:cs="Times New Roman"/>
          <w:sz w:val="24"/>
        </w:rPr>
      </w:pPr>
    </w:p>
    <w:p w14:paraId="3D3DFF4E" w14:textId="39092AD9" w:rsidR="00B073B3" w:rsidRPr="004B0DA6" w:rsidRDefault="00337CC4" w:rsidP="00203597">
      <w:pPr>
        <w:widowControl w:val="0"/>
        <w:spacing w:after="0"/>
        <w:jc w:val="both"/>
        <w:rPr>
          <w:rFonts w:ascii="Times New Roman" w:hAnsi="Times New Roman" w:cs="Times New Roman"/>
          <w:sz w:val="24"/>
        </w:rPr>
      </w:pPr>
      <w:r w:rsidRPr="004B0DA6">
        <w:rPr>
          <w:rFonts w:ascii="Times New Roman" w:hAnsi="Times New Roman" w:cs="Times New Roman"/>
          <w:noProof/>
          <w:sz w:val="24"/>
        </w:rPr>
        <mc:AlternateContent>
          <mc:Choice Requires="wpc">
            <w:drawing>
              <wp:anchor distT="0" distB="0" distL="114300" distR="114300" simplePos="0" relativeHeight="251704320" behindDoc="0" locked="0" layoutInCell="1" allowOverlap="1" wp14:anchorId="4C3682AD" wp14:editId="10088299">
                <wp:simplePos x="0" y="0"/>
                <wp:positionH relativeFrom="column">
                  <wp:posOffset>76200</wp:posOffset>
                </wp:positionH>
                <wp:positionV relativeFrom="paragraph">
                  <wp:posOffset>10794</wp:posOffset>
                </wp:positionV>
                <wp:extent cx="5553075" cy="1638301"/>
                <wp:effectExtent l="0" t="0" r="0" b="0"/>
                <wp:wrapNone/>
                <wp:docPr id="15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17455231" name="Rectangle 155"/>
                        <wps:cNvSpPr>
                          <a:spLocks noChangeArrowheads="1"/>
                        </wps:cNvSpPr>
                        <wps:spPr bwMode="auto">
                          <a:xfrm>
                            <a:off x="31115" y="2540"/>
                            <a:ext cx="12827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2728A" w14:textId="4ECCEFDC" w:rsidR="00847270" w:rsidRDefault="00847270">
                              <w:r>
                                <w:rPr>
                                  <w:rFonts w:ascii="Times New Roman" w:hAnsi="Times New Roman" w:cs="Times New Roman"/>
                                  <w:color w:val="000000"/>
                                  <w:sz w:val="24"/>
                                  <w:szCs w:val="24"/>
                                </w:rPr>
                                <w:t>General Government</w:t>
                              </w:r>
                            </w:p>
                          </w:txbxContent>
                        </wps:txbx>
                        <wps:bodyPr rot="0" vert="horz" wrap="none" lIns="0" tIns="0" rIns="0" bIns="0" anchor="t" anchorCtr="0">
                          <a:spAutoFit/>
                        </wps:bodyPr>
                      </wps:wsp>
                      <wps:wsp>
                        <wps:cNvPr id="925015405" name="Rectangle 156"/>
                        <wps:cNvSpPr>
                          <a:spLocks noChangeArrowheads="1"/>
                        </wps:cNvSpPr>
                        <wps:spPr bwMode="auto">
                          <a:xfrm>
                            <a:off x="4877435" y="2540"/>
                            <a:ext cx="4197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AA994" w14:textId="207A0080" w:rsidR="00847270" w:rsidRDefault="00847270">
                              <w:r w:rsidRPr="00D43250">
                                <w:rPr>
                                  <w:rFonts w:ascii="Times New Roman" w:hAnsi="Times New Roman" w:cs="Times New Roman"/>
                                  <w:color w:val="000000"/>
                                  <w:sz w:val="24"/>
                                  <w:szCs w:val="24"/>
                                </w:rPr>
                                <w:t>47</w:t>
                              </w:r>
                              <w:r>
                                <w:rPr>
                                  <w:rFonts w:ascii="Times New Roman" w:hAnsi="Times New Roman" w:cs="Times New Roman"/>
                                  <w:color w:val="000000"/>
                                  <w:sz w:val="24"/>
                                  <w:szCs w:val="24"/>
                                </w:rPr>
                                <w:t>,590</w:t>
                              </w:r>
                            </w:p>
                          </w:txbxContent>
                        </wps:txbx>
                        <wps:bodyPr rot="0" vert="horz" wrap="none" lIns="0" tIns="0" rIns="0" bIns="0" anchor="t" anchorCtr="0">
                          <a:spAutoFit/>
                        </wps:bodyPr>
                      </wps:wsp>
                      <wps:wsp>
                        <wps:cNvPr id="1107229691" name="Rectangle 157"/>
                        <wps:cNvSpPr>
                          <a:spLocks noChangeArrowheads="1"/>
                        </wps:cNvSpPr>
                        <wps:spPr bwMode="auto">
                          <a:xfrm>
                            <a:off x="4551045" y="254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A79A7" w14:textId="7E35D997" w:rsidR="00847270" w:rsidRDefault="00847270">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1020254503" name="Rectangle 158"/>
                        <wps:cNvSpPr>
                          <a:spLocks noChangeArrowheads="1"/>
                        </wps:cNvSpPr>
                        <wps:spPr bwMode="auto">
                          <a:xfrm>
                            <a:off x="4856480" y="254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1CDBE" w14:textId="2E391202" w:rsidR="00847270" w:rsidRDefault="00847270">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816633578" name="Rectangle 159"/>
                        <wps:cNvSpPr>
                          <a:spLocks noChangeArrowheads="1"/>
                        </wps:cNvSpPr>
                        <wps:spPr bwMode="auto">
                          <a:xfrm>
                            <a:off x="31115" y="189230"/>
                            <a:ext cx="8172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DCAC1" w14:textId="11AE91E1" w:rsidR="00847270" w:rsidRDefault="00847270">
                              <w:r>
                                <w:rPr>
                                  <w:rFonts w:ascii="Times New Roman" w:hAnsi="Times New Roman" w:cs="Times New Roman"/>
                                  <w:color w:val="000000"/>
                                  <w:sz w:val="24"/>
                                  <w:szCs w:val="24"/>
                                </w:rPr>
                                <w:t>Public Safety</w:t>
                              </w:r>
                            </w:p>
                          </w:txbxContent>
                        </wps:txbx>
                        <wps:bodyPr rot="0" vert="horz" wrap="none" lIns="0" tIns="0" rIns="0" bIns="0" anchor="t" anchorCtr="0">
                          <a:spAutoFit/>
                        </wps:bodyPr>
                      </wps:wsp>
                      <wps:wsp>
                        <wps:cNvPr id="195190678" name="Rectangle 160"/>
                        <wps:cNvSpPr>
                          <a:spLocks noChangeArrowheads="1"/>
                        </wps:cNvSpPr>
                        <wps:spPr bwMode="auto">
                          <a:xfrm>
                            <a:off x="4877435" y="189230"/>
                            <a:ext cx="4197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33FF4" w14:textId="0D8865DE" w:rsidR="00847270" w:rsidRDefault="00847270">
                              <w:r>
                                <w:rPr>
                                  <w:rFonts w:ascii="Times New Roman" w:hAnsi="Times New Roman" w:cs="Times New Roman"/>
                                  <w:color w:val="000000"/>
                                  <w:sz w:val="24"/>
                                  <w:szCs w:val="24"/>
                                </w:rPr>
                                <w:t>23,211</w:t>
                              </w:r>
                            </w:p>
                          </w:txbxContent>
                        </wps:txbx>
                        <wps:bodyPr rot="0" vert="horz" wrap="none" lIns="0" tIns="0" rIns="0" bIns="0" anchor="t" anchorCtr="0">
                          <a:spAutoFit/>
                        </wps:bodyPr>
                      </wps:wsp>
                      <wps:wsp>
                        <wps:cNvPr id="828218619" name="Rectangle 161"/>
                        <wps:cNvSpPr>
                          <a:spLocks noChangeArrowheads="1"/>
                        </wps:cNvSpPr>
                        <wps:spPr bwMode="auto">
                          <a:xfrm>
                            <a:off x="4551045" y="18923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D441E" w14:textId="74375757" w:rsidR="00847270" w:rsidRDefault="00847270">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109691051" name="Rectangle 162"/>
                        <wps:cNvSpPr>
                          <a:spLocks noChangeArrowheads="1"/>
                        </wps:cNvSpPr>
                        <wps:spPr bwMode="auto">
                          <a:xfrm>
                            <a:off x="4856480" y="18923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19338" w14:textId="222E9A75" w:rsidR="00847270" w:rsidRDefault="00847270">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1696841590" name="Rectangle 163"/>
                        <wps:cNvSpPr>
                          <a:spLocks noChangeArrowheads="1"/>
                        </wps:cNvSpPr>
                        <wps:spPr bwMode="auto">
                          <a:xfrm>
                            <a:off x="31115" y="375920"/>
                            <a:ext cx="897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6B9E6" w14:textId="543927CD" w:rsidR="00847270" w:rsidRDefault="00847270">
                              <w:r>
                                <w:rPr>
                                  <w:rFonts w:ascii="Times New Roman" w:hAnsi="Times New Roman" w:cs="Times New Roman"/>
                                  <w:color w:val="000000"/>
                                  <w:sz w:val="24"/>
                                  <w:szCs w:val="24"/>
                                </w:rPr>
                                <w:t>Transportation</w:t>
                              </w:r>
                            </w:p>
                          </w:txbxContent>
                        </wps:txbx>
                        <wps:bodyPr rot="0" vert="horz" wrap="none" lIns="0" tIns="0" rIns="0" bIns="0" anchor="t" anchorCtr="0">
                          <a:spAutoFit/>
                        </wps:bodyPr>
                      </wps:wsp>
                      <wps:wsp>
                        <wps:cNvPr id="1604929751" name="Rectangle 164"/>
                        <wps:cNvSpPr>
                          <a:spLocks noChangeArrowheads="1"/>
                        </wps:cNvSpPr>
                        <wps:spPr bwMode="auto">
                          <a:xfrm>
                            <a:off x="4801235" y="375920"/>
                            <a:ext cx="4959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349FB" w14:textId="6194F76E" w:rsidR="00847270" w:rsidRDefault="00847270">
                              <w:r>
                                <w:rPr>
                                  <w:rFonts w:ascii="Times New Roman" w:hAnsi="Times New Roman" w:cs="Times New Roman"/>
                                  <w:color w:val="000000"/>
                                  <w:sz w:val="24"/>
                                  <w:szCs w:val="24"/>
                                </w:rPr>
                                <w:t>121,399</w:t>
                              </w:r>
                            </w:p>
                          </w:txbxContent>
                        </wps:txbx>
                        <wps:bodyPr rot="0" vert="horz" wrap="none" lIns="0" tIns="0" rIns="0" bIns="0" anchor="t" anchorCtr="0">
                          <a:spAutoFit/>
                        </wps:bodyPr>
                      </wps:wsp>
                      <wps:wsp>
                        <wps:cNvPr id="1207027802" name="Rectangle 165"/>
                        <wps:cNvSpPr>
                          <a:spLocks noChangeArrowheads="1"/>
                        </wps:cNvSpPr>
                        <wps:spPr bwMode="auto">
                          <a:xfrm>
                            <a:off x="4551045" y="37592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AF72B" w14:textId="7DF2C948" w:rsidR="00847270" w:rsidRDefault="00847270">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911462979" name="Rectangle 166"/>
                        <wps:cNvSpPr>
                          <a:spLocks noChangeArrowheads="1"/>
                        </wps:cNvSpPr>
                        <wps:spPr bwMode="auto">
                          <a:xfrm>
                            <a:off x="4780280" y="37592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B9546" w14:textId="3B85848E" w:rsidR="00847270" w:rsidRDefault="00847270">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1849008650" name="Rectangle 167"/>
                        <wps:cNvSpPr>
                          <a:spLocks noChangeArrowheads="1"/>
                        </wps:cNvSpPr>
                        <wps:spPr bwMode="auto">
                          <a:xfrm>
                            <a:off x="31115" y="562610"/>
                            <a:ext cx="15621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940D2" w14:textId="28903D11" w:rsidR="00847270" w:rsidRDefault="00847270">
                              <w:r>
                                <w:rPr>
                                  <w:rFonts w:ascii="Times New Roman" w:hAnsi="Times New Roman" w:cs="Times New Roman"/>
                                  <w:color w:val="000000"/>
                                  <w:sz w:val="24"/>
                                  <w:szCs w:val="24"/>
                                </w:rPr>
                                <w:t>Environmental protection</w:t>
                              </w:r>
                            </w:p>
                          </w:txbxContent>
                        </wps:txbx>
                        <wps:bodyPr rot="0" vert="horz" wrap="none" lIns="0" tIns="0" rIns="0" bIns="0" anchor="t" anchorCtr="0">
                          <a:spAutoFit/>
                        </wps:bodyPr>
                      </wps:wsp>
                      <wps:wsp>
                        <wps:cNvPr id="609803577" name="Rectangle 168"/>
                        <wps:cNvSpPr>
                          <a:spLocks noChangeArrowheads="1"/>
                        </wps:cNvSpPr>
                        <wps:spPr bwMode="auto">
                          <a:xfrm>
                            <a:off x="4877435" y="562610"/>
                            <a:ext cx="4197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6A28C" w14:textId="4C5D8860" w:rsidR="00847270" w:rsidRDefault="00847270">
                              <w:r>
                                <w:rPr>
                                  <w:rFonts w:ascii="Times New Roman" w:hAnsi="Times New Roman" w:cs="Times New Roman"/>
                                  <w:color w:val="000000"/>
                                  <w:sz w:val="24"/>
                                  <w:szCs w:val="24"/>
                                </w:rPr>
                                <w:t>58,937</w:t>
                              </w:r>
                            </w:p>
                          </w:txbxContent>
                        </wps:txbx>
                        <wps:bodyPr rot="0" vert="horz" wrap="none" lIns="0" tIns="0" rIns="0" bIns="0" anchor="t" anchorCtr="0">
                          <a:spAutoFit/>
                        </wps:bodyPr>
                      </wps:wsp>
                      <wps:wsp>
                        <wps:cNvPr id="1727904215" name="Rectangle 169"/>
                        <wps:cNvSpPr>
                          <a:spLocks noChangeArrowheads="1"/>
                        </wps:cNvSpPr>
                        <wps:spPr bwMode="auto">
                          <a:xfrm>
                            <a:off x="4551045" y="56261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EF6E9" w14:textId="5419789C" w:rsidR="00847270" w:rsidRDefault="00847270">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60195428" name="Rectangle 170"/>
                        <wps:cNvSpPr>
                          <a:spLocks noChangeArrowheads="1"/>
                        </wps:cNvSpPr>
                        <wps:spPr bwMode="auto">
                          <a:xfrm>
                            <a:off x="4856480" y="56261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697D" w14:textId="4C8254D8" w:rsidR="00847270" w:rsidRDefault="00847270">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1715595365" name="Rectangle 171"/>
                        <wps:cNvSpPr>
                          <a:spLocks noChangeArrowheads="1"/>
                        </wps:cNvSpPr>
                        <wps:spPr bwMode="auto">
                          <a:xfrm>
                            <a:off x="31115" y="749300"/>
                            <a:ext cx="126111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26D9B" w14:textId="6ABB335D" w:rsidR="00847270" w:rsidRDefault="00847270">
                              <w:r>
                                <w:rPr>
                                  <w:rFonts w:ascii="Times New Roman" w:hAnsi="Times New Roman" w:cs="Times New Roman"/>
                                  <w:color w:val="000000"/>
                                  <w:sz w:val="24"/>
                                  <w:szCs w:val="24"/>
                                </w:rPr>
                                <w:t>Culture &amp; recreation</w:t>
                              </w:r>
                            </w:p>
                          </w:txbxContent>
                        </wps:txbx>
                        <wps:bodyPr rot="0" vert="horz" wrap="none" lIns="0" tIns="0" rIns="0" bIns="0" anchor="t" anchorCtr="0">
                          <a:spAutoFit/>
                        </wps:bodyPr>
                      </wps:wsp>
                      <wps:wsp>
                        <wps:cNvPr id="1366951580" name="Rectangle 172"/>
                        <wps:cNvSpPr>
                          <a:spLocks noChangeArrowheads="1"/>
                        </wps:cNvSpPr>
                        <wps:spPr bwMode="auto">
                          <a:xfrm>
                            <a:off x="4877435" y="749300"/>
                            <a:ext cx="4197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7967A" w14:textId="1FA03F8A" w:rsidR="00847270" w:rsidRDefault="00847270">
                              <w:r>
                                <w:rPr>
                                  <w:rFonts w:ascii="Times New Roman" w:hAnsi="Times New Roman" w:cs="Times New Roman"/>
                                  <w:color w:val="000000"/>
                                  <w:sz w:val="24"/>
                                  <w:szCs w:val="24"/>
                                </w:rPr>
                                <w:t>15,080</w:t>
                              </w:r>
                            </w:p>
                          </w:txbxContent>
                        </wps:txbx>
                        <wps:bodyPr rot="0" vert="horz" wrap="none" lIns="0" tIns="0" rIns="0" bIns="0" anchor="t" anchorCtr="0">
                          <a:spAutoFit/>
                        </wps:bodyPr>
                      </wps:wsp>
                      <wps:wsp>
                        <wps:cNvPr id="1465721739" name="Rectangle 173"/>
                        <wps:cNvSpPr>
                          <a:spLocks noChangeArrowheads="1"/>
                        </wps:cNvSpPr>
                        <wps:spPr bwMode="auto">
                          <a:xfrm>
                            <a:off x="4551045" y="74930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3EB80" w14:textId="5AC5F7D8" w:rsidR="00847270" w:rsidRDefault="00847270">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392421048" name="Rectangle 174"/>
                        <wps:cNvSpPr>
                          <a:spLocks noChangeArrowheads="1"/>
                        </wps:cNvSpPr>
                        <wps:spPr bwMode="auto">
                          <a:xfrm>
                            <a:off x="4856480" y="74930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61415" w14:textId="7A290B51" w:rsidR="00847270" w:rsidRDefault="00847270">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916812746" name="Rectangle 175"/>
                        <wps:cNvSpPr>
                          <a:spLocks noChangeArrowheads="1"/>
                        </wps:cNvSpPr>
                        <wps:spPr bwMode="auto">
                          <a:xfrm>
                            <a:off x="4953635" y="1122680"/>
                            <a:ext cx="3435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D37B0" w14:textId="4A175ED6" w:rsidR="00847270" w:rsidRDefault="00847270">
                              <w:r>
                                <w:rPr>
                                  <w:rFonts w:ascii="Times New Roman" w:hAnsi="Times New Roman" w:cs="Times New Roman"/>
                                  <w:color w:val="000000"/>
                                  <w:sz w:val="24"/>
                                  <w:szCs w:val="24"/>
                                </w:rPr>
                                <w:t>4,767</w:t>
                              </w:r>
                            </w:p>
                          </w:txbxContent>
                        </wps:txbx>
                        <wps:bodyPr rot="0" vert="horz" wrap="none" lIns="0" tIns="0" rIns="0" bIns="0" anchor="t" anchorCtr="0">
                          <a:spAutoFit/>
                        </wps:bodyPr>
                      </wps:wsp>
                      <wps:wsp>
                        <wps:cNvPr id="1911811214" name="Rectangle 176"/>
                        <wps:cNvSpPr>
                          <a:spLocks noChangeArrowheads="1"/>
                        </wps:cNvSpPr>
                        <wps:spPr bwMode="auto">
                          <a:xfrm>
                            <a:off x="4551045" y="112268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9F441" w14:textId="136A47C8" w:rsidR="00847270" w:rsidRDefault="00847270">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570857267" name="Rectangle 177"/>
                        <wps:cNvSpPr>
                          <a:spLocks noChangeArrowheads="1"/>
                        </wps:cNvSpPr>
                        <wps:spPr bwMode="auto">
                          <a:xfrm>
                            <a:off x="4932680" y="112268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44C24" w14:textId="139F2525" w:rsidR="00847270" w:rsidRDefault="00847270">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334996025" name="Rectangle 178"/>
                        <wps:cNvSpPr>
                          <a:spLocks noChangeArrowheads="1"/>
                        </wps:cNvSpPr>
                        <wps:spPr bwMode="auto">
                          <a:xfrm>
                            <a:off x="31115" y="1304290"/>
                            <a:ext cx="164211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D633E" w14:textId="6111481C" w:rsidR="00847270" w:rsidRDefault="00847270">
                              <w:r>
                                <w:rPr>
                                  <w:rFonts w:ascii="Times New Roman" w:hAnsi="Times New Roman" w:cs="Times New Roman"/>
                                  <w:color w:val="000000"/>
                                  <w:sz w:val="24"/>
                                  <w:szCs w:val="24"/>
                                </w:rPr>
                                <w:t>Total depreciation expense</w:t>
                              </w:r>
                            </w:p>
                          </w:txbxContent>
                        </wps:txbx>
                        <wps:bodyPr rot="0" vert="horz" wrap="none" lIns="0" tIns="0" rIns="0" bIns="0" anchor="t" anchorCtr="0">
                          <a:spAutoFit/>
                        </wps:bodyPr>
                      </wps:wsp>
                      <wps:wsp>
                        <wps:cNvPr id="821671131" name="Rectangle 179"/>
                        <wps:cNvSpPr>
                          <a:spLocks noChangeArrowheads="1"/>
                        </wps:cNvSpPr>
                        <wps:spPr bwMode="auto">
                          <a:xfrm>
                            <a:off x="4801235" y="1304290"/>
                            <a:ext cx="4959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8A567" w14:textId="6C9BA09A" w:rsidR="00847270" w:rsidRDefault="00847270">
                              <w:r>
                                <w:rPr>
                                  <w:rFonts w:ascii="Times New Roman" w:hAnsi="Times New Roman" w:cs="Times New Roman"/>
                                  <w:color w:val="000000"/>
                                  <w:sz w:val="24"/>
                                  <w:szCs w:val="24"/>
                                </w:rPr>
                                <w:t>270,984</w:t>
                              </w:r>
                            </w:p>
                          </w:txbxContent>
                        </wps:txbx>
                        <wps:bodyPr rot="0" vert="horz" wrap="none" lIns="0" tIns="0" rIns="0" bIns="0" anchor="t" anchorCtr="0">
                          <a:spAutoFit/>
                        </wps:bodyPr>
                      </wps:wsp>
                      <wps:wsp>
                        <wps:cNvPr id="1470826176" name="Rectangle 180"/>
                        <wps:cNvSpPr>
                          <a:spLocks noChangeArrowheads="1"/>
                        </wps:cNvSpPr>
                        <wps:spPr bwMode="auto">
                          <a:xfrm>
                            <a:off x="4551045" y="130429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843D" w14:textId="2691E514" w:rsidR="00847270" w:rsidRDefault="00847270">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939739902" name="Rectangle 181"/>
                        <wps:cNvSpPr>
                          <a:spLocks noChangeArrowheads="1"/>
                        </wps:cNvSpPr>
                        <wps:spPr bwMode="auto">
                          <a:xfrm>
                            <a:off x="4780280" y="130429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8B0BE" w14:textId="6750336E" w:rsidR="00847270" w:rsidRDefault="00847270">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281089586" name="Rectangle 182"/>
                        <wps:cNvSpPr>
                          <a:spLocks noChangeArrowheads="1"/>
                        </wps:cNvSpPr>
                        <wps:spPr bwMode="auto">
                          <a:xfrm>
                            <a:off x="31115" y="935990"/>
                            <a:ext cx="288480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637A9" w14:textId="1BFDB000" w:rsidR="00847270" w:rsidRDefault="00847270">
                              <w:r>
                                <w:rPr>
                                  <w:rFonts w:ascii="Times New Roman" w:hAnsi="Times New Roman" w:cs="Times New Roman"/>
                                  <w:color w:val="000000"/>
                                  <w:sz w:val="24"/>
                                  <w:szCs w:val="24"/>
                                </w:rPr>
                                <w:t xml:space="preserve">Depreciation on capital assets held in the City's </w:t>
                              </w:r>
                            </w:p>
                          </w:txbxContent>
                        </wps:txbx>
                        <wps:bodyPr rot="0" vert="horz" wrap="none" lIns="0" tIns="0" rIns="0" bIns="0" anchor="t" anchorCtr="0">
                          <a:spAutoFit/>
                        </wps:bodyPr>
                      </wps:wsp>
                      <wps:wsp>
                        <wps:cNvPr id="1711785533" name="Rectangle 183"/>
                        <wps:cNvSpPr>
                          <a:spLocks noChangeArrowheads="1"/>
                        </wps:cNvSpPr>
                        <wps:spPr bwMode="auto">
                          <a:xfrm>
                            <a:off x="31115" y="1122680"/>
                            <a:ext cx="300926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D674E" w14:textId="59F03104" w:rsidR="00847270" w:rsidRDefault="00847270">
                              <w:r>
                                <w:rPr>
                                  <w:rFonts w:ascii="Times New Roman" w:hAnsi="Times New Roman" w:cs="Times New Roman"/>
                                  <w:color w:val="000000"/>
                                  <w:sz w:val="24"/>
                                  <w:szCs w:val="24"/>
                                </w:rPr>
                                <w:t xml:space="preserve">  service fund charged to function based on usage</w:t>
                              </w:r>
                            </w:p>
                          </w:txbxContent>
                        </wps:txbx>
                        <wps:bodyPr rot="0" vert="horz" wrap="none" lIns="0" tIns="0" rIns="0" bIns="0" anchor="t" anchorCtr="0">
                          <a:spAutoFit/>
                        </wps:bodyPr>
                      </wps:wsp>
                      <wps:wsp>
                        <wps:cNvPr id="1148924203" name="Line 184"/>
                        <wps:cNvCnPr>
                          <a:cxnSpLocks noChangeShapeType="1"/>
                        </wps:cNvCnPr>
                        <wps:spPr bwMode="auto">
                          <a:xfrm>
                            <a:off x="4474845" y="1299845"/>
                            <a:ext cx="89916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66262366" name="Rectangle 185"/>
                        <wps:cNvSpPr>
                          <a:spLocks noChangeArrowheads="1"/>
                        </wps:cNvSpPr>
                        <wps:spPr bwMode="auto">
                          <a:xfrm>
                            <a:off x="4474845" y="1299845"/>
                            <a:ext cx="89916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84854" name="Rectangle 186"/>
                        <wps:cNvSpPr>
                          <a:spLocks noChangeArrowheads="1"/>
                        </wps:cNvSpPr>
                        <wps:spPr bwMode="auto">
                          <a:xfrm>
                            <a:off x="4474845" y="1482090"/>
                            <a:ext cx="89916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523730" name="Rectangle 187"/>
                        <wps:cNvSpPr>
                          <a:spLocks noChangeArrowheads="1"/>
                        </wps:cNvSpPr>
                        <wps:spPr bwMode="auto">
                          <a:xfrm>
                            <a:off x="4474845" y="1506220"/>
                            <a:ext cx="89916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3682AD" id="Canvas 2" o:spid="_x0000_s1029" editas="canvas" style="position:absolute;left:0;text-align:left;margin-left:6pt;margin-top:.85pt;width:437.25pt;height:129pt;z-index:251704320" coordsize="55530,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0Y4QYAAPJJAAAOAAAAZHJzL2Uyb0RvYy54bWzsXNuO2zYQfS/QfxD03pikeDXiDYJNUxRI&#10;26BJP0CWZVuoLKmSdu3t13coyZS85iJp0nIFMPvglXWheTkzPDya4ctXp0Me3Kd1k5XFKsQvUBik&#10;RVJusmK3Cv/4+PYHGQZNGxebOC+LdBU+pE346ub7714eq2VKyn2Zb9I6gEKKZnmsVuG+bavlYtEk&#10;+/QQNy/KKi3g4rasD3ELX+vdYlPHRyj9kC8IQnxxLOtNVZdJ2jRw9k1/Mbzpyt9u06T9bbtt0jbI&#10;VyHUre0+6+5zrT8XNy/j5a6Oq32WDNWIv6AWhzgr4EdNUW/iNg7u6uyqqEOW1GVTbtsXSXlYlNtt&#10;lqRdG6A1GD1qzW1c3MdN15gEeudcQTj6D8td73S9i/JtlufQGwsofanP6f9HGJ8UTh4rGJ2mMuPU&#10;fN3vf9jHVdo1q1kmv96/r4NsswqhAwRljEQ4DIr4AGD5HYYvLnZ5GmDG9FDpesADH6r3ta50U70r&#10;kz+boChv93Bf+rquy+M+jTdQP6zvh8ZMHtBfGng0WB9/KTdQfnzXlt2onbb1QRcI4xGcVmGEMWZh&#10;8AB1YnTASHpqgwSuYSKJQAClRF9WSEbdDYt4eS6kqpv2p7Q8BPpgFdbQiO5H4vt3TasrFS/Pt1z0&#10;fLzMi4sTcKM+0zVC17tvf3tan7r+ouceWZebB2hVXfboBmuEg31Z/x0GR0D2KizA9MIg/7mAftFG&#10;cD6ozwfr80FcJPDgKmzDoD+8bTtj6Xv7NfTX26xrg+7L/neHCgI8HOFEEYYwjAuM0DVM+LlTHMCE&#10;SiFo9BRQKFZCX3x2nBjL8QwnGCNBiOLK6k+ES6AwhhF9CiiCy1ngxJiObzhBBIGfZyiyORTpEieS&#10;cSrBQ1tnnkiO/kQywZ5r3jGW4xlOJOY8ipgARns97yiHMBnpCZaK9PwjXp4JisSCaF/z7POOsRzP&#10;cIIVwwpxK054Z7QXrPT/o7FTfmJDymwYijEez5AiYS2BJcfK4lF4t4BxhZQJQbEhZS5TDzbm4xlS&#10;MNI8FjEbleXE4dxDJxRl1kgx5uMbUrjikmKmgEZe0RQeOYTKSFMiwRTpTHdCU5QgIOo8P03Bxny8&#10;QwqiiihhdypGXXIipCBMBiHFhhWqmJrFEhkb+/ENKwQJRIRExOZVjMLkAisTqmLDymyoijEgz6Ci&#10;MKYc3IqV1BqNyQVSNFwHNWXWSDHm4xlSsKQKIclBybJQFSMzOYDKSFUYJ7xfZYxUBcNJPItXPtjY&#10;j2dQ4UhJBNqbsCHFCE0OkDLVVGxYmY2mgo39eAYVkD+FQpToN7jXCyAjNbnAyoSq2LAyG6piDMgz&#10;qHAEWi0lNkFfGKXJBVAmosqsgWKsxzOgYAEBKIpF3OZThJGaHEBlZCqCqghICQSUTJgKkBd47T0D&#10;VaWXe8YoEW+iU3DEObwAYnrhcTX9CKM1OYDKlKrYwDIbqkKMAfnmVihngmAR2dbKwmhNLrAyoSo2&#10;rMyFqhBjQJ5BJVIEKC2iVq5ipCYXSJlwlVkjxZiPZ0hRmEtMBOW2+cdITS6QognToOpjTAiHKfGC&#10;rUQQPDkLWZ8YA/IMKxjEWgljg6kNLEZscgGWyQRkB8tMot+IMSHPsMIEgqhDwm0SHOhyYNmuglVU&#10;1PkSHSU5b6gYA/IMKlFEleIQVGvzKkZscuBVxtUyjkAShJiIiwkIc+BU81guGwPyDCoQAMcFxtac&#10;H3iF6NCryDEGwQqW2QQhgF45dItnWMEUpiBQuISN2vbk0tUUNGUrNs8yl5wOYkzIM6yoCLKvlLLG&#10;q0ijNzmYgugkCsHqV+YirfR5BB4qtkRiJBWTVq9i9CYHUBnZCkS7AXYvyQqREnKD5hAxCZO1pxMQ&#10;MBUhGYtsmWLSCE5OoWJfASGkiH5Z9exJQJExIM8mIIiCg+QsSsaswndZAYns0mhNAJPbok9kT07F&#10;h0e57F2O/MeHCtLUO3M7p7L3j2g3rVPCP5nKTqmgckg9xUQpfXyxBpIKBMPhjWHncZ7OZM+hAZ+d&#10;yR4cda55lzde5tlG7y7Qfal369u8Du5jvSFD96frAz/aTG+ry7ti09VTp/P/OBy3cZb3x/bU+B5i&#10;ujjdP+4y0iGHB8LGCLz5syx4pRGMHPiFfzXcmCDwEX3vf+HmBReD1nze2H7WLgef9BbNX3dxnZ53&#10;NVCYwkYNw84GFGQq+NLvbjBc6Xc4GK48tctBcFfV2W4PuyfgDrlFqXc82D77jgc6RgUSb2wiLbAW&#10;GEBXy56pM6GSoMccZepMvqHr0R4ac0WXiigjkQD+fx2wII0u5dp5McTJdc7QOFd9g9fXwwumyUTv&#10;K9TNv8MmSHrnoun3bjIdt2q6+QcAAP//AwBQSwMEFAAGAAgAAAAhAOiATeDcAAAACAEAAA8AAABk&#10;cnMvZG93bnJldi54bWxMj8FOwzAQRO9I/IO1SNyo01RtQxqnQkgcOLZU4urG2zjCXqex04S/ZznB&#10;aTWa0eybaj97J244xC6QguUiA4HUBNNRq+D08fZUgIhJk9EuECr4xgj7+v6u0qUJEx3wdkyt4BKK&#10;pVZgU+pLKWNj0eu4CD0Se5cweJ1YDq00g5643DuZZ9lGet0Rf7C6x1eLzddx9Aqya+5W19mM6XBa&#10;+j68fxZ2Win1+DC/7EAknNNfGH7xGR1qZjqHkUwUjnXOUxLfLQi2i2KzBnFWkK+ftyDrSv4fUP8A&#10;AAD//wMAUEsBAi0AFAAGAAgAAAAhALaDOJL+AAAA4QEAABMAAAAAAAAAAAAAAAAAAAAAAFtDb250&#10;ZW50X1R5cGVzXS54bWxQSwECLQAUAAYACAAAACEAOP0h/9YAAACUAQAACwAAAAAAAAAAAAAAAAAv&#10;AQAAX3JlbHMvLnJlbHNQSwECLQAUAAYACAAAACEAygPNGOEGAADySQAADgAAAAAAAAAAAAAAAAAu&#10;AgAAZHJzL2Uyb0RvYy54bWxQSwECLQAUAAYACAAAACEA6IBN4NwAAAAIAQAADwAAAAAAAAAAAAAA&#10;AAA7CQAAZHJzL2Rvd25yZXYueG1sUEsFBgAAAAAEAAQA8wAAAEQKAAAAAA==&#10;">
                <v:shape id="_x0000_s1030" type="#_x0000_t75" style="position:absolute;width:55530;height:16383;visibility:visible;mso-wrap-style:square">
                  <v:fill o:detectmouseclick="t"/>
                  <v:path o:connecttype="none"/>
                </v:shape>
                <v:rect id="Rectangle 155" o:spid="_x0000_s1031" style="position:absolute;left:311;top:25;width:1282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nSeyQAAAOMAAAAPAAAAZHJzL2Rvd25yZXYueG1sRI/dSgMx&#10;FITvBd8hHME7m+xqa9k2LSIUqnjTrQ9w2Jz9ocnJksTu+vZGELwcZuYbZrufnRVXCnHwrKFYKBDE&#10;jTcDdxo+z4eHNYiYkA1az6ThmyLsd7c3W6yMn/hE1zp1IkM4VqihT2mspIxNTw7jwo/E2Wt9cJiy&#10;DJ00AacMd1aWSq2kw4HzQo8jvfbUXOovp0Ge68O0rm1Q/r1sP+zb8dSS1/r+bn7ZgEg0p//wX/to&#10;NJSqeH5aLsvHAn4/5T8gdz8AAAD//wMAUEsBAi0AFAAGAAgAAAAhANvh9svuAAAAhQEAABMAAAAA&#10;AAAAAAAAAAAAAAAAAFtDb250ZW50X1R5cGVzXS54bWxQSwECLQAUAAYACAAAACEAWvQsW78AAAAV&#10;AQAACwAAAAAAAAAAAAAAAAAfAQAAX3JlbHMvLnJlbHNQSwECLQAUAAYACAAAACEAOI50nskAAADj&#10;AAAADwAAAAAAAAAAAAAAAAAHAgAAZHJzL2Rvd25yZXYueG1sUEsFBgAAAAADAAMAtwAAAP0CAAAA&#10;AA==&#10;" filled="f" stroked="f">
                  <v:textbox style="mso-fit-shape-to-text:t" inset="0,0,0,0">
                    <w:txbxContent>
                      <w:p w14:paraId="3142728A" w14:textId="4ECCEFDC" w:rsidR="00847270" w:rsidRDefault="00847270">
                        <w:r>
                          <w:rPr>
                            <w:rFonts w:ascii="Times New Roman" w:hAnsi="Times New Roman" w:cs="Times New Roman"/>
                            <w:color w:val="000000"/>
                            <w:sz w:val="24"/>
                            <w:szCs w:val="24"/>
                          </w:rPr>
                          <w:t>General Government</w:t>
                        </w:r>
                      </w:p>
                    </w:txbxContent>
                  </v:textbox>
                </v:rect>
                <v:rect id="Rectangle 156" o:spid="_x0000_s1032" style="position:absolute;left:48774;top:25;width:41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LnyAAAAOIAAAAPAAAAZHJzL2Rvd25yZXYueG1sRI/dSgMx&#10;FITvBd8hHKF3NuniSl2bFhEKrXjTrQ9w2Jz9weRkSWJ3+/aNIHg5zMw3zGY3OysuFOLgWcNqqUAQ&#10;N94M3Gn4Ou8f1yBiQjZoPZOGK0XYbe/vNlgZP/GJLnXqRIZwrFBDn9JYSRmbnhzGpR+Js9f64DBl&#10;GTppAk4Z7qwslHqWDgfOCz2O9N5T813/OA3yXO+ndW2D8h9F+2mPh1NLXuvFw/z2CiLRnP7Df+2D&#10;0fBSlGpVPqkSfi/lOyC3NwAAAP//AwBQSwECLQAUAAYACAAAACEA2+H2y+4AAACFAQAAEwAAAAAA&#10;AAAAAAAAAAAAAAAAW0NvbnRlbnRfVHlwZXNdLnhtbFBLAQItABQABgAIAAAAIQBa9CxbvwAAABUB&#10;AAALAAAAAAAAAAAAAAAAAB8BAABfcmVscy8ucmVsc1BLAQItABQABgAIAAAAIQCeLDLnyAAAAOIA&#10;AAAPAAAAAAAAAAAAAAAAAAcCAABkcnMvZG93bnJldi54bWxQSwUGAAAAAAMAAwC3AAAA/AIAAAAA&#10;" filled="f" stroked="f">
                  <v:textbox style="mso-fit-shape-to-text:t" inset="0,0,0,0">
                    <w:txbxContent>
                      <w:p w14:paraId="215AA994" w14:textId="207A0080" w:rsidR="00847270" w:rsidRDefault="00847270">
                        <w:r w:rsidRPr="00D43250">
                          <w:rPr>
                            <w:rFonts w:ascii="Times New Roman" w:hAnsi="Times New Roman" w:cs="Times New Roman"/>
                            <w:color w:val="000000"/>
                            <w:sz w:val="24"/>
                            <w:szCs w:val="24"/>
                          </w:rPr>
                          <w:t>47</w:t>
                        </w:r>
                        <w:r>
                          <w:rPr>
                            <w:rFonts w:ascii="Times New Roman" w:hAnsi="Times New Roman" w:cs="Times New Roman"/>
                            <w:color w:val="000000"/>
                            <w:sz w:val="24"/>
                            <w:szCs w:val="24"/>
                          </w:rPr>
                          <w:t>,590</w:t>
                        </w:r>
                      </w:p>
                    </w:txbxContent>
                  </v:textbox>
                </v:rect>
                <v:rect id="Rectangle 157" o:spid="_x0000_s1033" style="position:absolute;left:45510;top:25;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RrxQAAAOMAAAAPAAAAZHJzL2Rvd25yZXYueG1sRE/NagIx&#10;EL4XfIcwQm812T1Y3RqlCIItvbj2AYbN7A9NJksS3e3bN4VCj/P9z+4wOyvuFOLgWUOxUiCIG28G&#10;7jR8Xk9PGxAxIRu0nknDN0U47BcPO6yMn/hC9zp1IodwrFBDn9JYSRmbnhzGlR+JM9f64DDlM3TS&#10;BJxyuLOyVGotHQ6cG3oc6dhT81XfnAZ5rU/TprZB+fey/bBv50tLXuvH5fz6AiLRnP7Ff+6zyfML&#10;9VyW2/W2gN+fMgBy/wMAAP//AwBQSwECLQAUAAYACAAAACEA2+H2y+4AAACFAQAAEwAAAAAAAAAA&#10;AAAAAAAAAAAAW0NvbnRlbnRfVHlwZXNdLnhtbFBLAQItABQABgAIAAAAIQBa9CxbvwAAABUBAAAL&#10;AAAAAAAAAAAAAAAAAB8BAABfcmVscy8ucmVsc1BLAQItABQABgAIAAAAIQBhuCRrxQAAAOMAAAAP&#10;AAAAAAAAAAAAAAAAAAcCAABkcnMvZG93bnJldi54bWxQSwUGAAAAAAMAAwC3AAAA+QIAAAAA&#10;" filled="f" stroked="f">
                  <v:textbox style="mso-fit-shape-to-text:t" inset="0,0,0,0">
                    <w:txbxContent>
                      <w:p w14:paraId="526A79A7" w14:textId="7E35D997" w:rsidR="00847270" w:rsidRDefault="00847270">
                        <w:r>
                          <w:rPr>
                            <w:rFonts w:ascii="Times New Roman" w:hAnsi="Times New Roman" w:cs="Times New Roman"/>
                            <w:color w:val="000000"/>
                            <w:sz w:val="24"/>
                            <w:szCs w:val="24"/>
                          </w:rPr>
                          <w:t xml:space="preserve">$      </w:t>
                        </w:r>
                      </w:p>
                    </w:txbxContent>
                  </v:textbox>
                </v:rect>
                <v:rect id="Rectangle 158" o:spid="_x0000_s1034" style="position:absolute;left:48564;top:25;width:38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OGNxQAAAOMAAAAPAAAAZHJzL2Rvd25yZXYueG1sRE/NagIx&#10;EL4XfIcwQm816VpFtkYRQbClF9c+wLCZ/aHJZEmiu337plDocb7/2e4nZ8WdQuw9a3heKBDEtTc9&#10;txo+r6enDYiYkA1az6ThmyLsd7OHLZbGj3yhe5VakUM4lqihS2kopYx1Rw7jwg/EmWt8cJjyGVpp&#10;Ao453FlZKLWWDnvODR0OdOyo/qpuToO8VqdxU9mg/HvRfNi386Uhr/XjfDq8gkg0pX/xn/ts8nxV&#10;qGL1slJL+P0pAyB3PwAAAP//AwBQSwECLQAUAAYACAAAACEA2+H2y+4AAACFAQAAEwAAAAAAAAAA&#10;AAAAAAAAAAAAW0NvbnRlbnRfVHlwZXNdLnhtbFBLAQItABQABgAIAAAAIQBa9CxbvwAAABUBAAAL&#10;AAAAAAAAAAAAAAAAAB8BAABfcmVscy8ucmVsc1BLAQItABQABgAIAAAAIQBntOGNxQAAAOMAAAAP&#10;AAAAAAAAAAAAAAAAAAcCAABkcnMvZG93bnJldi54bWxQSwUGAAAAAAMAAwC3AAAA+QIAAAAA&#10;" filled="f" stroked="f">
                  <v:textbox style="mso-fit-shape-to-text:t" inset="0,0,0,0">
                    <w:txbxContent>
                      <w:p w14:paraId="6A51CDBE" w14:textId="2E391202" w:rsidR="00847270" w:rsidRDefault="00847270">
                        <w:r>
                          <w:rPr>
                            <w:rFonts w:ascii="Times New Roman" w:hAnsi="Times New Roman" w:cs="Times New Roman"/>
                            <w:color w:val="000000"/>
                            <w:sz w:val="24"/>
                            <w:szCs w:val="24"/>
                          </w:rPr>
                          <w:t xml:space="preserve"> </w:t>
                        </w:r>
                      </w:p>
                    </w:txbxContent>
                  </v:textbox>
                </v:rect>
                <v:rect id="Rectangle 159" o:spid="_x0000_s1035" style="position:absolute;left:311;top:1892;width:817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Di3xQAAAOIAAAAPAAAAZHJzL2Rvd25yZXYueG1sRE/dasIw&#10;FL4XfIdwhN1pqmJXqlHGQHCyG+se4NCc/mByUpLMdm+/XAx2+fH9H06TNeJJPvSOFaxXGQji2ume&#10;WwVf9/OyABEiskbjmBT8UIDTcT47YKndyDd6VrEVKYRDiQq6GIdSylB3ZDGs3ECcuMZ5izFB30rt&#10;cUzh1shNluXSYs+pocOB3juqH9W3VSDv1XksKuMzd900n+bjcmvIKfWymN72ICJN8V/8575oBcU6&#10;z7fb3WvanC6lOyCPvwAAAP//AwBQSwECLQAUAAYACAAAACEA2+H2y+4AAACFAQAAEwAAAAAAAAAA&#10;AAAAAAAAAAAAW0NvbnRlbnRfVHlwZXNdLnhtbFBLAQItABQABgAIAAAAIQBa9CxbvwAAABUBAAAL&#10;AAAAAAAAAAAAAAAAAB8BAABfcmVscy8ucmVsc1BLAQItABQABgAIAAAAIQBK7Di3xQAAAOIAAAAP&#10;AAAAAAAAAAAAAAAAAAcCAABkcnMvZG93bnJldi54bWxQSwUGAAAAAAMAAwC3AAAA+QIAAAAA&#10;" filled="f" stroked="f">
                  <v:textbox style="mso-fit-shape-to-text:t" inset="0,0,0,0">
                    <w:txbxContent>
                      <w:p w14:paraId="188DCAC1" w14:textId="11AE91E1" w:rsidR="00847270" w:rsidRDefault="00847270">
                        <w:r>
                          <w:rPr>
                            <w:rFonts w:ascii="Times New Roman" w:hAnsi="Times New Roman" w:cs="Times New Roman"/>
                            <w:color w:val="000000"/>
                            <w:sz w:val="24"/>
                            <w:szCs w:val="24"/>
                          </w:rPr>
                          <w:t>Public Safety</w:t>
                        </w:r>
                      </w:p>
                    </w:txbxContent>
                  </v:textbox>
                </v:rect>
                <v:rect id="Rectangle 160" o:spid="_x0000_s1036" style="position:absolute;left:48774;top:1892;width:41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J4VxAAAAOIAAAAPAAAAZHJzL2Rvd25yZXYueG1sRE/NSgMx&#10;EL4LvkMYwZtNWrC2a9MiQqGKl259gGEz+4PJZElid3175yB4/Pj+d4c5eHWllIfIFpYLA4q4iW7g&#10;zsLn5fiwAZULskMfmSz8UIbD/vZmh5WLE5/pWpdOSQjnCi30pYyV1rnpKWBexJFYuDamgEVg6rRL&#10;OEl48HplzFoHHFgaehzptafmq/4OFvSlPk6b2icT31fth387nVuK1t7fzS/PoArN5V/85z45mb99&#10;XG7N+kk2yyXBoPe/AAAA//8DAFBLAQItABQABgAIAAAAIQDb4fbL7gAAAIUBAAATAAAAAAAAAAAA&#10;AAAAAAAAAABbQ29udGVudF9UeXBlc10ueG1sUEsBAi0AFAAGAAgAAAAhAFr0LFu/AAAAFQEAAAsA&#10;AAAAAAAAAAAAAAAAHwEAAF9yZWxzLy5yZWxzUEsBAi0AFAAGAAgAAAAhAJxInhXEAAAA4gAAAA8A&#10;AAAAAAAAAAAAAAAABwIAAGRycy9kb3ducmV2LnhtbFBLBQYAAAAAAwADALcAAAD4AgAAAAA=&#10;" filled="f" stroked="f">
                  <v:textbox style="mso-fit-shape-to-text:t" inset="0,0,0,0">
                    <w:txbxContent>
                      <w:p w14:paraId="2D233FF4" w14:textId="0D8865DE" w:rsidR="00847270" w:rsidRDefault="00847270">
                        <w:r>
                          <w:rPr>
                            <w:rFonts w:ascii="Times New Roman" w:hAnsi="Times New Roman" w:cs="Times New Roman"/>
                            <w:color w:val="000000"/>
                            <w:sz w:val="24"/>
                            <w:szCs w:val="24"/>
                          </w:rPr>
                          <w:t>23,211</w:t>
                        </w:r>
                      </w:p>
                    </w:txbxContent>
                  </v:textbox>
                </v:rect>
                <v:rect id="Rectangle 161" o:spid="_x0000_s1037" style="position:absolute;left:45510;top:1892;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5gxwAAAOIAAAAPAAAAZHJzL2Rvd25yZXYueG1sRI/NasMw&#10;EITvhbyD2EJvjWwfgupGCaUQSEMvcfoAi7X+odLKSErsvn1UKPQ4zMw3zHa/OCtuFOLoWUO5LkAQ&#10;t96M3Gv4uhyeFYiYkA1az6ThhyLsd6uHLdbGz3ymW5N6kSEca9QwpDTVUsZ2IIdx7Sfi7HU+OExZ&#10;hl6agHOGOyurothIhyPnhQEneh+o/W6uToO8NIdZNTYU/lR1n/bjeO7Ia/30uLy9gki0pP/wX/to&#10;NKhKVaXalC/weynfAbm7AwAA//8DAFBLAQItABQABgAIAAAAIQDb4fbL7gAAAIUBAAATAAAAAAAA&#10;AAAAAAAAAAAAAABbQ29udGVudF9UeXBlc10ueG1sUEsBAi0AFAAGAAgAAAAhAFr0LFu/AAAAFQEA&#10;AAsAAAAAAAAAAAAAAAAAHwEAAF9yZWxzLy5yZWxzUEsBAi0AFAAGAAgAAAAhAFFqPmDHAAAA4gAA&#10;AA8AAAAAAAAAAAAAAAAABwIAAGRycy9kb3ducmV2LnhtbFBLBQYAAAAAAwADALcAAAD7AgAAAAA=&#10;" filled="f" stroked="f">
                  <v:textbox style="mso-fit-shape-to-text:t" inset="0,0,0,0">
                    <w:txbxContent>
                      <w:p w14:paraId="613D441E" w14:textId="74375757" w:rsidR="00847270" w:rsidRDefault="00847270">
                        <w:r>
                          <w:rPr>
                            <w:rFonts w:ascii="Times New Roman" w:hAnsi="Times New Roman" w:cs="Times New Roman"/>
                            <w:color w:val="000000"/>
                            <w:sz w:val="24"/>
                            <w:szCs w:val="24"/>
                          </w:rPr>
                          <w:t xml:space="preserve">        </w:t>
                        </w:r>
                      </w:p>
                    </w:txbxContent>
                  </v:textbox>
                </v:rect>
                <v:rect id="Rectangle 162" o:spid="_x0000_s1038" style="position:absolute;left:48564;top:1892;width:38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3pLwwAAAOIAAAAPAAAAZHJzL2Rvd25yZXYueG1sRE/LagIx&#10;FN0L/kO4gjtNRlB0apRSEGzpxrEfcJncedDkZkhSZ/r3TaHQ5eG8j+fJWfGgEHvPGoq1AkFce9Nz&#10;q+HjflntQcSEbNB6Jg3fFOF8ms+OWBo/8o0eVWpFDuFYooYupaGUMtYdOYxrPxBnrvHBYcowtNIE&#10;HHO4s3Kj1E467Dk3dDjQS0f1Z/XlNMh7dRn3lQ3Kv22ad/t6vTXktV4upucnEImm9C/+c19Nnq8O&#10;u0OhtgX8XsoY5OkHAAD//wMAUEsBAi0AFAAGAAgAAAAhANvh9svuAAAAhQEAABMAAAAAAAAAAAAA&#10;AAAAAAAAAFtDb250ZW50X1R5cGVzXS54bWxQSwECLQAUAAYACAAAACEAWvQsW78AAAAVAQAACwAA&#10;AAAAAAAAAAAAAAAfAQAAX3JlbHMvLnJlbHNQSwECLQAUAAYACAAAACEAhM96S8MAAADiAAAADwAA&#10;AAAAAAAAAAAAAAAHAgAAZHJzL2Rvd25yZXYueG1sUEsFBgAAAAADAAMAtwAAAPcCAAAAAA==&#10;" filled="f" stroked="f">
                  <v:textbox style="mso-fit-shape-to-text:t" inset="0,0,0,0">
                    <w:txbxContent>
                      <w:p w14:paraId="54719338" w14:textId="222E9A75" w:rsidR="00847270" w:rsidRDefault="00847270">
                        <w:r>
                          <w:rPr>
                            <w:rFonts w:ascii="Times New Roman" w:hAnsi="Times New Roman" w:cs="Times New Roman"/>
                            <w:color w:val="000000"/>
                            <w:sz w:val="24"/>
                            <w:szCs w:val="24"/>
                          </w:rPr>
                          <w:t xml:space="preserve"> </w:t>
                        </w:r>
                      </w:p>
                    </w:txbxContent>
                  </v:textbox>
                </v:rect>
                <v:rect id="Rectangle 163" o:spid="_x0000_s1039" style="position:absolute;left:311;top:3759;width:897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oHyyQAAAOMAAAAPAAAAZHJzL2Rvd25yZXYueG1sRI/NTsMw&#10;EITvSLyDtUjcqNMKojTUrRBSpYK4NOUBVvHmR9jryDZNeHv2gMRxd2dn5tsdFu/UlWIaAxtYrwpQ&#10;xG2wI/cGPi/HhwpUysgWXWAy8EMJDvvbmx3WNsx8pmuTeyUmnGo0MOQ81VqndiCPaRUmYrl1IXrM&#10;MsZe24izmHunN0VRao8jS8KAE70O1H41396AvjTHuWpcLML7pvtwb6dzR8GY+7vl5RlUpiX/i/++&#10;T1bql9uyelw/bYVCmGQBev8LAAD//wMAUEsBAi0AFAAGAAgAAAAhANvh9svuAAAAhQEAABMAAAAA&#10;AAAAAAAAAAAAAAAAAFtDb250ZW50X1R5cGVzXS54bWxQSwECLQAUAAYACAAAACEAWvQsW78AAAAV&#10;AQAACwAAAAAAAAAAAAAAAAAfAQAAX3JlbHMvLnJlbHNQSwECLQAUAAYACAAAACEAQCaB8skAAADj&#10;AAAADwAAAAAAAAAAAAAAAAAHAgAAZHJzL2Rvd25yZXYueG1sUEsFBgAAAAADAAMAtwAAAP0CAAAA&#10;AA==&#10;" filled="f" stroked="f">
                  <v:textbox style="mso-fit-shape-to-text:t" inset="0,0,0,0">
                    <w:txbxContent>
                      <w:p w14:paraId="00D6B9E6" w14:textId="543927CD" w:rsidR="00847270" w:rsidRDefault="00847270">
                        <w:r>
                          <w:rPr>
                            <w:rFonts w:ascii="Times New Roman" w:hAnsi="Times New Roman" w:cs="Times New Roman"/>
                            <w:color w:val="000000"/>
                            <w:sz w:val="24"/>
                            <w:szCs w:val="24"/>
                          </w:rPr>
                          <w:t>Transportation</w:t>
                        </w:r>
                      </w:p>
                    </w:txbxContent>
                  </v:textbox>
                </v:rect>
                <v:rect id="Rectangle 164" o:spid="_x0000_s1040" style="position:absolute;left:48012;top:3759;width:495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9nSxgAAAOMAAAAPAAAAZHJzL2Rvd25yZXYueG1sRE/NSgMx&#10;EL4LfYcwBW826aK1XZuWIhSqeOnWBxg2sz+YTJYk7a5vbwTB43z/s91Pzoobhdh71rBcKBDEtTc9&#10;txo+L8eHNYiYkA1az6ThmyLsd7O7LZbGj3ymW5VakUM4lqihS2kopYx1Rw7jwg/EmWt8cJjyGVpp&#10;Ao453FlZKLWSDnvODR0O9NpR/VVdnQZ5qY7jurJB+fei+bBvp3NDXuv7+XR4AZFoSv/iP/fJ5Pkr&#10;9bgpNs9PS/j9KQMgdz8AAAD//wMAUEsBAi0AFAAGAAgAAAAhANvh9svuAAAAhQEAABMAAAAAAAAA&#10;AAAAAAAAAAAAAFtDb250ZW50X1R5cGVzXS54bWxQSwECLQAUAAYACAAAACEAWvQsW78AAAAVAQAA&#10;CwAAAAAAAAAAAAAAAAAfAQAAX3JlbHMvLnJlbHNQSwECLQAUAAYACAAAACEAB4/Z0sYAAADjAAAA&#10;DwAAAAAAAAAAAAAAAAAHAgAAZHJzL2Rvd25yZXYueG1sUEsFBgAAAAADAAMAtwAAAPoCAAAAAA==&#10;" filled="f" stroked="f">
                  <v:textbox style="mso-fit-shape-to-text:t" inset="0,0,0,0">
                    <w:txbxContent>
                      <w:p w14:paraId="02A349FB" w14:textId="6194F76E" w:rsidR="00847270" w:rsidRDefault="00847270">
                        <w:r>
                          <w:rPr>
                            <w:rFonts w:ascii="Times New Roman" w:hAnsi="Times New Roman" w:cs="Times New Roman"/>
                            <w:color w:val="000000"/>
                            <w:sz w:val="24"/>
                            <w:szCs w:val="24"/>
                          </w:rPr>
                          <w:t>121,399</w:t>
                        </w:r>
                      </w:p>
                    </w:txbxContent>
                  </v:textbox>
                </v:rect>
                <v:rect id="Rectangle 165" o:spid="_x0000_s1041" style="position:absolute;left:45510;top:3759;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FLGxAAAAOMAAAAPAAAAZHJzL2Rvd25yZXYueG1sRE/NSgMx&#10;EL4LvkMYwZtNzMEua9NSCoUqXrrtAwyb2R9MJksSu+vbG0HwON//bHaLd+JGMY2BDTyvFAjiNtiR&#10;ewPXy/GpApEyskUXmAx8U4Ld9v5ug7UNM5/p1uRelBBONRoYcp5qKVM7kMe0ChNx4boQPeZyxl7a&#10;iHMJ905qpV6kx5FLw4ATHQZqP5svb0BemuNcNS6q8K67D/d2OncUjHl8WPavIDIt+V/85z7ZMl+r&#10;tdLrSmn4/akAILc/AAAA//8DAFBLAQItABQABgAIAAAAIQDb4fbL7gAAAIUBAAATAAAAAAAAAAAA&#10;AAAAAAAAAABbQ29udGVudF9UeXBlc10ueG1sUEsBAi0AFAAGAAgAAAAhAFr0LFu/AAAAFQEAAAsA&#10;AAAAAAAAAAAAAAAAHwEAAF9yZWxzLy5yZWxzUEsBAi0AFAAGAAgAAAAhAIHwUsbEAAAA4wAAAA8A&#10;AAAAAAAAAAAAAAAABwIAAGRycy9kb3ducmV2LnhtbFBLBQYAAAAAAwADALcAAAD4AgAAAAA=&#10;" filled="f" stroked="f">
                  <v:textbox style="mso-fit-shape-to-text:t" inset="0,0,0,0">
                    <w:txbxContent>
                      <w:p w14:paraId="1E1AF72B" w14:textId="7DF2C948" w:rsidR="00847270" w:rsidRDefault="00847270">
                        <w:r>
                          <w:rPr>
                            <w:rFonts w:ascii="Times New Roman" w:hAnsi="Times New Roman" w:cs="Times New Roman"/>
                            <w:color w:val="000000"/>
                            <w:sz w:val="24"/>
                            <w:szCs w:val="24"/>
                          </w:rPr>
                          <w:t xml:space="preserve">      </w:t>
                        </w:r>
                      </w:p>
                    </w:txbxContent>
                  </v:textbox>
                </v:rect>
                <v:rect id="Rectangle 166" o:spid="_x0000_s1042" style="position:absolute;left:47802;top:3759;width:38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VyAAAAOIAAAAPAAAAZHJzL2Rvd25yZXYueG1sRI/NasMw&#10;EITvhb6D2EJvjWxT0tiNEkIgkJRe4uQBFmv9Q6WVkdTYffuoUOhxmJlvmPV2tkbcyIfBsYJ8kYEg&#10;bpweuFNwvRxeViBCRNZoHJOCHwqw3Tw+rLHSbuIz3erYiQThUKGCPsaxkjI0PVkMCzcSJ6913mJM&#10;0ndSe5wS3BpZZNlSWhw4LfQ40r6n5qv+tgrkpT5Mq9r4zH0U7ac5Hc8tOaWen+bdO4hIc/wP/7WP&#10;WkGZ56/Lonwr4fdSugNycwcAAP//AwBQSwECLQAUAAYACAAAACEA2+H2y+4AAACFAQAAEwAAAAAA&#10;AAAAAAAAAAAAAAAAW0NvbnRlbnRfVHlwZXNdLnhtbFBLAQItABQABgAIAAAAIQBa9CxbvwAAABUB&#10;AAALAAAAAAAAAAAAAAAAAB8BAABfcmVscy8ucmVsc1BLAQItABQABgAIAAAAIQATlr+VyAAAAOIA&#10;AAAPAAAAAAAAAAAAAAAAAAcCAABkcnMvZG93bnJldi54bWxQSwUGAAAAAAMAAwC3AAAA/AIAAAAA&#10;" filled="f" stroked="f">
                  <v:textbox style="mso-fit-shape-to-text:t" inset="0,0,0,0">
                    <w:txbxContent>
                      <w:p w14:paraId="0D5B9546" w14:textId="3B85848E" w:rsidR="00847270" w:rsidRDefault="00847270">
                        <w:r>
                          <w:rPr>
                            <w:rFonts w:ascii="Times New Roman" w:hAnsi="Times New Roman" w:cs="Times New Roman"/>
                            <w:color w:val="000000"/>
                            <w:sz w:val="24"/>
                            <w:szCs w:val="24"/>
                          </w:rPr>
                          <w:t xml:space="preserve"> </w:t>
                        </w:r>
                      </w:p>
                    </w:txbxContent>
                  </v:textbox>
                </v:rect>
                <v:rect id="Rectangle 167" o:spid="_x0000_s1043" style="position:absolute;left:311;top:5626;width:1562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aWIyAAAAOMAAAAPAAAAZHJzL2Rvd25yZXYueG1sRI/dSgMx&#10;EIXvBd8hjOCdTSxa1rVpEaFQxZtufYBhM/uDyWRJYnd9e+dC8HJmzpxzvu1+CV5dKOUxsoX7lQFF&#10;3EY3cm/h83y4q0DlguzQRyYLP5Rhv7u+2mLt4swnujSlV2LCuUYLQylTrXVuBwqYV3EillsXU8Ai&#10;Y+q1SziLefB6bcxGBxxZEgac6HWg9qv5Dhb0uTnMVeOTie/r7sO/HU8dRWtvb5aXZ1CFlvIv/vs+&#10;OqlfPTwZU20ehUKYZAF69wsAAP//AwBQSwECLQAUAAYACAAAACEA2+H2y+4AAACFAQAAEwAAAAAA&#10;AAAAAAAAAAAAAAAAW0NvbnRlbnRfVHlwZXNdLnhtbFBLAQItABQABgAIAAAAIQBa9CxbvwAAABUB&#10;AAALAAAAAAAAAAAAAAAAAB8BAABfcmVscy8ucmVsc1BLAQItABQABgAIAAAAIQAm0aWIyAAAAOMA&#10;AAAPAAAAAAAAAAAAAAAAAAcCAABkcnMvZG93bnJldi54bWxQSwUGAAAAAAMAAwC3AAAA/AIAAAAA&#10;" filled="f" stroked="f">
                  <v:textbox style="mso-fit-shape-to-text:t" inset="0,0,0,0">
                    <w:txbxContent>
                      <w:p w14:paraId="5BC940D2" w14:textId="28903D11" w:rsidR="00847270" w:rsidRDefault="00847270">
                        <w:r>
                          <w:rPr>
                            <w:rFonts w:ascii="Times New Roman" w:hAnsi="Times New Roman" w:cs="Times New Roman"/>
                            <w:color w:val="000000"/>
                            <w:sz w:val="24"/>
                            <w:szCs w:val="24"/>
                          </w:rPr>
                          <w:t>Environmental protection</w:t>
                        </w:r>
                      </w:p>
                    </w:txbxContent>
                  </v:textbox>
                </v:rect>
                <v:rect id="Rectangle 168" o:spid="_x0000_s1044" style="position:absolute;left:48774;top:5626;width:41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WVyAAAAOIAAAAPAAAAZHJzL2Rvd25yZXYueG1sRI/dSgMx&#10;FITvBd8hHME7m1ix3W6bliIUqnjTbR/gsDn7g8nJkqTd9e2NIHg5zMw3zGY3OStuFGLvWcPzTIEg&#10;rr3pudVwOR+eChAxIRu0nknDN0XYbe/vNlgaP/KJblVqRYZwLFFDl9JQShnrjhzGmR+Is9f44DBl&#10;GVppAo4Z7qycK7WQDnvOCx0O9NZR/VVdnQZ5rg5jUdmg/Me8+bTvx1NDXuvHh2m/BpFoSv/hv/bR&#10;aFioVaFeXpdL+L2U74Dc/gAAAP//AwBQSwECLQAUAAYACAAAACEA2+H2y+4AAACFAQAAEwAAAAAA&#10;AAAAAAAAAAAAAAAAW0NvbnRlbnRfVHlwZXNdLnhtbFBLAQItABQABgAIAAAAIQBa9CxbvwAAABUB&#10;AAALAAAAAAAAAAAAAAAAAB8BAABfcmVscy8ucmVsc1BLAQItABQABgAIAAAAIQAIUCWVyAAAAOIA&#10;AAAPAAAAAAAAAAAAAAAAAAcCAABkcnMvZG93bnJldi54bWxQSwUGAAAAAAMAAwC3AAAA/AIAAAAA&#10;" filled="f" stroked="f">
                  <v:textbox style="mso-fit-shape-to-text:t" inset="0,0,0,0">
                    <w:txbxContent>
                      <w:p w14:paraId="29D6A28C" w14:textId="4C5D8860" w:rsidR="00847270" w:rsidRDefault="00847270">
                        <w:r>
                          <w:rPr>
                            <w:rFonts w:ascii="Times New Roman" w:hAnsi="Times New Roman" w:cs="Times New Roman"/>
                            <w:color w:val="000000"/>
                            <w:sz w:val="24"/>
                            <w:szCs w:val="24"/>
                          </w:rPr>
                          <w:t>58,937</w:t>
                        </w:r>
                      </w:p>
                    </w:txbxContent>
                  </v:textbox>
                </v:rect>
                <v:rect id="Rectangle 169" o:spid="_x0000_s1045" style="position:absolute;left:45510;top:5626;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z4VxgAAAOMAAAAPAAAAZHJzL2Rvd25yZXYueG1sRE/NSgMx&#10;EL4LvkMYoTebdKm23TYtIhSqeOm2DzBsZn8wmSxJ7K5vbwTB43z/sztMzoobhdh71rCYKxDEtTc9&#10;txqul+PjGkRMyAatZ9LwTREO+/u7HZbGj3ymW5VakUM4lqihS2kopYx1Rw7j3A/EmWt8cJjyGVpp&#10;Ao453FlZKPUsHfacGzoc6LWj+rP6chrkpTqO68oG5d+L5sO+nc4Nea1nD9PLFkSiKf2L/9wnk+ev&#10;itVGLYvFE/z+lAGQ+x8AAAD//wMAUEsBAi0AFAAGAAgAAAAhANvh9svuAAAAhQEAABMAAAAAAAAA&#10;AAAAAAAAAAAAAFtDb250ZW50X1R5cGVzXS54bWxQSwECLQAUAAYACAAAACEAWvQsW78AAAAVAQAA&#10;CwAAAAAAAAAAAAAAAAAfAQAAX3JlbHMvLnJlbHNQSwECLQAUAAYACAAAACEAOQc+FcYAAADjAAAA&#10;DwAAAAAAAAAAAAAAAAAHAgAAZHJzL2Rvd25yZXYueG1sUEsFBgAAAAADAAMAtwAAAPoCAAAAAA==&#10;" filled="f" stroked="f">
                  <v:textbox style="mso-fit-shape-to-text:t" inset="0,0,0,0">
                    <w:txbxContent>
                      <w:p w14:paraId="79AEF6E9" w14:textId="5419789C" w:rsidR="00847270" w:rsidRDefault="00847270">
                        <w:r>
                          <w:rPr>
                            <w:rFonts w:ascii="Times New Roman" w:hAnsi="Times New Roman" w:cs="Times New Roman"/>
                            <w:color w:val="000000"/>
                            <w:sz w:val="24"/>
                            <w:szCs w:val="24"/>
                          </w:rPr>
                          <w:t xml:space="preserve">        </w:t>
                        </w:r>
                      </w:p>
                    </w:txbxContent>
                  </v:textbox>
                </v:rect>
                <v:rect id="Rectangle 170" o:spid="_x0000_s1046" style="position:absolute;left:48564;top:5626;width:38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piRxAAAAOEAAAAPAAAAZHJzL2Rvd25yZXYueG1sRE/LagIx&#10;FN0X+g/hCu5q4mDFTo1SCoIt3Tj6AZfJnQcmN0OSOuPfm0Why8N5b/eTs+JGIfaeNSwXCgRx7U3P&#10;rYbL+fCyARETskHrmTTcKcJ+9/y0xdL4kU90q1IrcgjHEjV0KQ2llLHuyGFc+IE4c40PDlOGoZUm&#10;4JjDnZWFUmvpsOfc0OFAnx3V1+rXaZDn6jBuKhuU/y6aH/t1PDXktZ7Ppo93EImm9C/+cx+NhrVa&#10;vr2uijw5P8pvQO4eAAAA//8DAFBLAQItABQABgAIAAAAIQDb4fbL7gAAAIUBAAATAAAAAAAAAAAA&#10;AAAAAAAAAABbQ29udGVudF9UeXBlc10ueG1sUEsBAi0AFAAGAAgAAAAhAFr0LFu/AAAAFQEAAAsA&#10;AAAAAAAAAAAAAAAAHwEAAF9yZWxzLy5yZWxzUEsBAi0AFAAGAAgAAAAhAHC+mJHEAAAA4QAAAA8A&#10;AAAAAAAAAAAAAAAABwIAAGRycy9kb3ducmV2LnhtbFBLBQYAAAAAAwADALcAAAD4AgAAAAA=&#10;" filled="f" stroked="f">
                  <v:textbox style="mso-fit-shape-to-text:t" inset="0,0,0,0">
                    <w:txbxContent>
                      <w:p w14:paraId="395C697D" w14:textId="4C8254D8" w:rsidR="00847270" w:rsidRDefault="00847270">
                        <w:r>
                          <w:rPr>
                            <w:rFonts w:ascii="Times New Roman" w:hAnsi="Times New Roman" w:cs="Times New Roman"/>
                            <w:color w:val="000000"/>
                            <w:sz w:val="24"/>
                            <w:szCs w:val="24"/>
                          </w:rPr>
                          <w:t xml:space="preserve"> </w:t>
                        </w:r>
                      </w:p>
                    </w:txbxContent>
                  </v:textbox>
                </v:rect>
                <v:rect id="Rectangle 171" o:spid="_x0000_s1047" style="position:absolute;left:311;top:7493;width:1261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iixgAAAOMAAAAPAAAAZHJzL2Rvd25yZXYueG1sRE/NagIx&#10;EL4LvkOYgjfNqqy1W6OIINjSi2sfYNjM/tBksiTR3b59Uyj0ON//7A6jNeJBPnSOFSwXGQjiyumO&#10;GwWft/N8CyJEZI3GMSn4pgCH/XSyw0K7ga/0KGMjUgiHAhW0MfaFlKFqyWJYuJ44cbXzFmM6fSO1&#10;xyGFWyNXWbaRFjtODS32dGqp+irvVoG8ledhWxqfufdV/WHeLteanFKzp/H4CiLSGP/Ff+6LTvOf&#10;l3n+kq83Ofz+lACQ+x8AAAD//wMAUEsBAi0AFAAGAAgAAAAhANvh9svuAAAAhQEAABMAAAAAAAAA&#10;AAAAAAAAAAAAAFtDb250ZW50X1R5cGVzXS54bWxQSwECLQAUAAYACAAAACEAWvQsW78AAAAVAQAA&#10;CwAAAAAAAAAAAAAAAAAfAQAAX3JlbHMvLnJlbHNQSwECLQAUAAYACAAAACEAWrBYosYAAADjAAAA&#10;DwAAAAAAAAAAAAAAAAAHAgAAZHJzL2Rvd25yZXYueG1sUEsFBgAAAAADAAMAtwAAAPoCAAAAAA==&#10;" filled="f" stroked="f">
                  <v:textbox style="mso-fit-shape-to-text:t" inset="0,0,0,0">
                    <w:txbxContent>
                      <w:p w14:paraId="6CE26D9B" w14:textId="6ABB335D" w:rsidR="00847270" w:rsidRDefault="00847270">
                        <w:r>
                          <w:rPr>
                            <w:rFonts w:ascii="Times New Roman" w:hAnsi="Times New Roman" w:cs="Times New Roman"/>
                            <w:color w:val="000000"/>
                            <w:sz w:val="24"/>
                            <w:szCs w:val="24"/>
                          </w:rPr>
                          <w:t>Culture &amp; recreation</w:t>
                        </w:r>
                      </w:p>
                    </w:txbxContent>
                  </v:textbox>
                </v:rect>
                <v:rect id="Rectangle 172" o:spid="_x0000_s1048" style="position:absolute;left:48774;top:7493;width:41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8xuyQAAAOMAAAAPAAAAZHJzL2Rvd25yZXYueG1sRI/NTsMw&#10;EITvSLyDtUjcqNOiRiHUrRBSpYK4NOUBVvHmR9jryDZNeHv2gMRxd2dn5tsdFu/UlWIaAxtYrwpQ&#10;xG2wI/cGPi/HhwpUysgWXWAy8EMJDvvbmx3WNsx8pmuTeyUmnGo0MOQ81VqndiCPaRUmYrl1IXrM&#10;MsZe24izmHunN0VRao8jS8KAE70O1H41396AvjTHuWpcLML7pvtwb6dzR8GY+7vl5RlUpiX/i/++&#10;T1bqP5bl03a9rYRCmGQBev8LAAD//wMAUEsBAi0AFAAGAAgAAAAhANvh9svuAAAAhQEAABMAAAAA&#10;AAAAAAAAAAAAAAAAAFtDb250ZW50X1R5cGVzXS54bWxQSwECLQAUAAYACAAAACEAWvQsW78AAAAV&#10;AQAACwAAAAAAAAAAAAAAAAAfAQAAX3JlbHMvLnJlbHNQSwECLQAUAAYACAAAACEAxuPMbskAAADj&#10;AAAADwAAAAAAAAAAAAAAAAAHAgAAZHJzL2Rvd25yZXYueG1sUEsFBgAAAAADAAMAtwAAAP0CAAAA&#10;AA==&#10;" filled="f" stroked="f">
                  <v:textbox style="mso-fit-shape-to-text:t" inset="0,0,0,0">
                    <w:txbxContent>
                      <w:p w14:paraId="0887967A" w14:textId="1FA03F8A" w:rsidR="00847270" w:rsidRDefault="00847270">
                        <w:r>
                          <w:rPr>
                            <w:rFonts w:ascii="Times New Roman" w:hAnsi="Times New Roman" w:cs="Times New Roman"/>
                            <w:color w:val="000000"/>
                            <w:sz w:val="24"/>
                            <w:szCs w:val="24"/>
                          </w:rPr>
                          <w:t>15,080</w:t>
                        </w:r>
                      </w:p>
                    </w:txbxContent>
                  </v:textbox>
                </v:rect>
                <v:rect id="Rectangle 173" o:spid="_x0000_s1049" style="position:absolute;left:45510;top:7493;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d1CxwAAAOMAAAAPAAAAZHJzL2Rvd25yZXYueG1sRE/bagIx&#10;EH0v+A9hhL7VrNvWy2qUUhBs8cXVDxg2sxdMJkuSutu/bwqFPs65z3Y/WiPu5EPnWMF8loEgrpzu&#10;uFFwvRyeViBCRNZoHJOCbwqw300etlhoN/CZ7mVsRArhUKCCNsa+kDJULVkMM9cTJ6523mJMp2+k&#10;9jikcGtknmULabHj1NBiT+8tVbfyyyqQl/IwrErjM/eZ1yfzcTzX5JR6nI5vGxCRxvgv/nMfdZr/&#10;snhd5vPl8xp+f0oAyN0PAAAA//8DAFBLAQItABQABgAIAAAAIQDb4fbL7gAAAIUBAAATAAAAAAAA&#10;AAAAAAAAAAAAAABbQ29udGVudF9UeXBlc10ueG1sUEsBAi0AFAAGAAgAAAAhAFr0LFu/AAAAFQEA&#10;AAsAAAAAAAAAAAAAAAAAHwEAAF9yZWxzLy5yZWxzUEsBAi0AFAAGAAgAAAAhAEvZ3ULHAAAA4wAA&#10;AA8AAAAAAAAAAAAAAAAABwIAAGRycy9kb3ducmV2LnhtbFBLBQYAAAAAAwADALcAAAD7AgAAAAA=&#10;" filled="f" stroked="f">
                  <v:textbox style="mso-fit-shape-to-text:t" inset="0,0,0,0">
                    <w:txbxContent>
                      <w:p w14:paraId="72C3EB80" w14:textId="5AC5F7D8" w:rsidR="00847270" w:rsidRDefault="00847270">
                        <w:r>
                          <w:rPr>
                            <w:rFonts w:ascii="Times New Roman" w:hAnsi="Times New Roman" w:cs="Times New Roman"/>
                            <w:color w:val="000000"/>
                            <w:sz w:val="24"/>
                            <w:szCs w:val="24"/>
                          </w:rPr>
                          <w:t xml:space="preserve">        </w:t>
                        </w:r>
                      </w:p>
                    </w:txbxContent>
                  </v:textbox>
                </v:rect>
                <v:rect id="Rectangle 174" o:spid="_x0000_s1050" style="position:absolute;left:48564;top:7493;width:38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hsxQAAAOIAAAAPAAAAZHJzL2Rvd25yZXYueG1sRE/LagIx&#10;FN0X+g/hCu5q4ijFTo1SCoIt3Tj6AZfJnQcmN0OSOuPfm0Why8N5b/eTs+JGIfaeNSwXCgRx7U3P&#10;rYbL+fCyARETskHrmTTcKcJ+9/y0xdL4kU90q1IrcgjHEjV0KQ2llLHuyGFc+IE4c40PDlOGoZUm&#10;4JjDnZWFUq/SYc+5ocOBPjuqr9Wv0yDP1WHcVDYo/100P/breGrIaz2fTR/vIBJN6V/85z4aDau3&#10;Yl0s1TpvzpfyHZC7BwAAAP//AwBQSwECLQAUAAYACAAAACEA2+H2y+4AAACFAQAAEwAAAAAAAAAA&#10;AAAAAAAAAAAAW0NvbnRlbnRfVHlwZXNdLnhtbFBLAQItABQABgAIAAAAIQBa9CxbvwAAABUBAAAL&#10;AAAAAAAAAAAAAAAAAB8BAABfcmVscy8ucmVsc1BLAQItABQABgAIAAAAIQDVD/hsxQAAAOIAAAAP&#10;AAAAAAAAAAAAAAAAAAcCAABkcnMvZG93bnJldi54bWxQSwUGAAAAAAMAAwC3AAAA+QIAAAAA&#10;" filled="f" stroked="f">
                  <v:textbox style="mso-fit-shape-to-text:t" inset="0,0,0,0">
                    <w:txbxContent>
                      <w:p w14:paraId="03161415" w14:textId="7A290B51" w:rsidR="00847270" w:rsidRDefault="00847270">
                        <w:r>
                          <w:rPr>
                            <w:rFonts w:ascii="Times New Roman" w:hAnsi="Times New Roman" w:cs="Times New Roman"/>
                            <w:color w:val="000000"/>
                            <w:sz w:val="24"/>
                            <w:szCs w:val="24"/>
                          </w:rPr>
                          <w:t xml:space="preserve"> </w:t>
                        </w:r>
                      </w:p>
                    </w:txbxContent>
                  </v:textbox>
                </v:rect>
                <v:rect id="Rectangle 175" o:spid="_x0000_s1051" style="position:absolute;left:49536;top:11226;width:343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rUYyAAAAOIAAAAPAAAAZHJzL2Rvd25yZXYueG1sRI/NasMw&#10;EITvhb6D2EJujWxTXNeNEkohkJRe4vQBFmv9Q6WVkdTYefuoUOhxmJlvmM1usUZcyIfRsYJ8nYEg&#10;bp0euVfwdd4/ViBCRNZoHJOCKwXYbe/vNlhrN/OJLk3sRYJwqFHBEONUSxnagSyGtZuIk9c5bzEm&#10;6XupPc4Jbo0ssqyUFkdOCwNO9D5Q+938WAXy3OznqjE+cx9F92mOh1NHTqnVw/L2CiLSEv/Df+2D&#10;VvCSl1VePD+V8Hsp3QG5vQEAAP//AwBQSwECLQAUAAYACAAAACEA2+H2y+4AAACFAQAAEwAAAAAA&#10;AAAAAAAAAAAAAAAAW0NvbnRlbnRfVHlwZXNdLnhtbFBLAQItABQABgAIAAAAIQBa9CxbvwAAABUB&#10;AAALAAAAAAAAAAAAAAAAAB8BAABfcmVscy8ucmVsc1BLAQItABQABgAIAAAAIQBsqrUYyAAAAOIA&#10;AAAPAAAAAAAAAAAAAAAAAAcCAABkcnMvZG93bnJldi54bWxQSwUGAAAAAAMAAwC3AAAA/AIAAAAA&#10;" filled="f" stroked="f">
                  <v:textbox style="mso-fit-shape-to-text:t" inset="0,0,0,0">
                    <w:txbxContent>
                      <w:p w14:paraId="25DD37B0" w14:textId="4A175ED6" w:rsidR="00847270" w:rsidRDefault="00847270">
                        <w:r>
                          <w:rPr>
                            <w:rFonts w:ascii="Times New Roman" w:hAnsi="Times New Roman" w:cs="Times New Roman"/>
                            <w:color w:val="000000"/>
                            <w:sz w:val="24"/>
                            <w:szCs w:val="24"/>
                          </w:rPr>
                          <w:t>4,767</w:t>
                        </w:r>
                      </w:p>
                    </w:txbxContent>
                  </v:textbox>
                </v:rect>
                <v:rect id="Rectangle 176" o:spid="_x0000_s1052" style="position:absolute;left:45510;top:11226;width:38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AgxQAAAOMAAAAPAAAAZHJzL2Rvd25yZXYueG1sRE/NSgMx&#10;EL4LfYcwgjebzVJkXZsWKRRa8dKtDzBsZn8wmSxJ7K5vbwTB43z/s90vzoobhTh61qDWBQji1puR&#10;ew0f1+NjBSImZIPWM2n4pgj73epui7XxM1/o1qRe5BCONWoYUppqKWM7kMO49hNx5jofHKZ8hl6a&#10;gHMOd1aWRfEkHY6cGwac6DBQ+9l8OQ3y2hznqrGh8G9l927Pp0tHXuuH++X1BUSiJf2L/9wnk+c/&#10;K1UpVaoN/P6UAZC7HwAAAP//AwBQSwECLQAUAAYACAAAACEA2+H2y+4AAACFAQAAEwAAAAAAAAAA&#10;AAAAAAAAAAAAW0NvbnRlbnRfVHlwZXNdLnhtbFBLAQItABQABgAIAAAAIQBa9CxbvwAAABUBAAAL&#10;AAAAAAAAAAAAAAAAAB8BAABfcmVscy8ucmVsc1BLAQItABQABgAIAAAAIQBE3gAgxQAAAOMAAAAP&#10;AAAAAAAAAAAAAAAAAAcCAABkcnMvZG93bnJldi54bWxQSwUGAAAAAAMAAwC3AAAA+QIAAAAA&#10;" filled="f" stroked="f">
                  <v:textbox style="mso-fit-shape-to-text:t" inset="0,0,0,0">
                    <w:txbxContent>
                      <w:p w14:paraId="26B9F441" w14:textId="136A47C8" w:rsidR="00847270" w:rsidRDefault="00847270">
                        <w:r>
                          <w:rPr>
                            <w:rFonts w:ascii="Times New Roman" w:hAnsi="Times New Roman" w:cs="Times New Roman"/>
                            <w:color w:val="000000"/>
                            <w:sz w:val="24"/>
                            <w:szCs w:val="24"/>
                          </w:rPr>
                          <w:t xml:space="preserve">          </w:t>
                        </w:r>
                      </w:p>
                    </w:txbxContent>
                  </v:textbox>
                </v:rect>
                <v:rect id="Rectangle 177" o:spid="_x0000_s1053" style="position:absolute;left:49326;top:11226;width:38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c/AyAAAAOIAAAAPAAAAZHJzL2Rvd25yZXYueG1sRI/NasMw&#10;EITvhb6D2EJvjVRDYuNGCaEQSEsvcfoAi7X+IdLKSGrsvn1VKPQ4zMw3zHa/OCtuFOLoWcPzSoEg&#10;br0ZudfweTk+VSBiQjZoPZOGb4qw393fbbE2fuYz3ZrUiwzhWKOGIaWpljK2AzmMKz8RZ6/zwWHK&#10;MvTSBJwz3FlZKLWRDkfOCwNO9DpQe22+nAZ5aY5z1dig/HvRfdi307kjr/Xjw3J4AZFoSf/hv/bJ&#10;aFiXqlqXxaaE30v5DsjdDwAAAP//AwBQSwECLQAUAAYACAAAACEA2+H2y+4AAACFAQAAEwAAAAAA&#10;AAAAAAAAAAAAAAAAW0NvbnRlbnRfVHlwZXNdLnhtbFBLAQItABQABgAIAAAAIQBa9CxbvwAAABUB&#10;AAALAAAAAAAAAAAAAAAAAB8BAABfcmVscy8ucmVsc1BLAQItABQABgAIAAAAIQBURc/AyAAAAOIA&#10;AAAPAAAAAAAAAAAAAAAAAAcCAABkcnMvZG93bnJldi54bWxQSwUGAAAAAAMAAwC3AAAA/AIAAAAA&#10;" filled="f" stroked="f">
                  <v:textbox style="mso-fit-shape-to-text:t" inset="0,0,0,0">
                    <w:txbxContent>
                      <w:p w14:paraId="41544C24" w14:textId="139F2525" w:rsidR="00847270" w:rsidRDefault="00847270">
                        <w:r>
                          <w:rPr>
                            <w:rFonts w:ascii="Times New Roman" w:hAnsi="Times New Roman" w:cs="Times New Roman"/>
                            <w:color w:val="000000"/>
                            <w:sz w:val="24"/>
                            <w:szCs w:val="24"/>
                          </w:rPr>
                          <w:t xml:space="preserve"> </w:t>
                        </w:r>
                      </w:p>
                    </w:txbxContent>
                  </v:textbox>
                </v:rect>
                <v:rect id="Rectangle 178" o:spid="_x0000_s1054" style="position:absolute;left:311;top:13042;width:16421;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b/yyAAAAOIAAAAPAAAAZHJzL2Rvd25yZXYueG1sRI/dSgMx&#10;FITvBd8hHME7m7jV0q5NSxEKVbzp1gc4bM7+YHKyJGl3+/aNIHg5zMw3zHo7OSsuFGLvWcPzTIEg&#10;rr3pudXwfdo/LUHEhGzQeiYNV4qw3dzfrbE0fuQjXarUigzhWKKGLqWhlDLWHTmMMz8QZ6/xwWHK&#10;MrTSBBwz3FlZKLWQDnvOCx0O9N5R/VOdnQZ5qvbjsrJB+c+i+bIfh2NDXuvHh2n3BiLRlP7Df+2D&#10;0TCfv6xWC1W8wu+lfAfk5gYAAP//AwBQSwECLQAUAAYACAAAACEA2+H2y+4AAACFAQAAEwAAAAAA&#10;AAAAAAAAAAAAAAAAW0NvbnRlbnRfVHlwZXNdLnhtbFBLAQItABQABgAIAAAAIQBa9CxbvwAAABUB&#10;AAALAAAAAAAAAAAAAAAAAB8BAABfcmVscy8ucmVsc1BLAQItABQABgAIAAAAIQCi8b/yyAAAAOIA&#10;AAAPAAAAAAAAAAAAAAAAAAcCAABkcnMvZG93bnJldi54bWxQSwUGAAAAAAMAAwC3AAAA/AIAAAAA&#10;" filled="f" stroked="f">
                  <v:textbox style="mso-fit-shape-to-text:t" inset="0,0,0,0">
                    <w:txbxContent>
                      <w:p w14:paraId="141D633E" w14:textId="6111481C" w:rsidR="00847270" w:rsidRDefault="00847270">
                        <w:r>
                          <w:rPr>
                            <w:rFonts w:ascii="Times New Roman" w:hAnsi="Times New Roman" w:cs="Times New Roman"/>
                            <w:color w:val="000000"/>
                            <w:sz w:val="24"/>
                            <w:szCs w:val="24"/>
                          </w:rPr>
                          <w:t>Total depreciation expense</w:t>
                        </w:r>
                      </w:p>
                    </w:txbxContent>
                  </v:textbox>
                </v:rect>
                <v:rect id="Rectangle 179" o:spid="_x0000_s1055" style="position:absolute;left:48012;top:13042;width:4959;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kvNxwAAAOIAAAAPAAAAZHJzL2Rvd25yZXYueG1sRI/NasMw&#10;EITvhb6D2EBvjSwXUuNGCaEQSEsvcfIAi7X+odLKSGrsvn1VKPQ4zMw3zHa/OCtuFOLoWYNaFyCI&#10;W29G7jVcL8fHCkRMyAatZ9LwTRH2u/u7LdbGz3ymW5N6kSEca9QwpDTVUsZ2IIdx7Sfi7HU+OExZ&#10;hl6agHOGOyvLothIhyPnhQEneh2o/Wy+nAZ5aY5z1dhQ+Pey+7Bvp3NHXuuH1XJ4AZFoSf/hv/bJ&#10;aKhKtXlW6knB76V8B+TuBwAA//8DAFBLAQItABQABgAIAAAAIQDb4fbL7gAAAIUBAAATAAAAAAAA&#10;AAAAAAAAAAAAAABbQ29udGVudF9UeXBlc10ueG1sUEsBAi0AFAAGAAgAAAAhAFr0LFu/AAAAFQEA&#10;AAsAAAAAAAAAAAAAAAAAHwEAAF9yZWxzLy5yZWxzUEsBAi0AFAAGAAgAAAAhAI1CS83HAAAA4gAA&#10;AA8AAAAAAAAAAAAAAAAABwIAAGRycy9kb3ducmV2LnhtbFBLBQYAAAAAAwADALcAAAD7AgAAAAA=&#10;" filled="f" stroked="f">
                  <v:textbox style="mso-fit-shape-to-text:t" inset="0,0,0,0">
                    <w:txbxContent>
                      <w:p w14:paraId="5E98A567" w14:textId="6C9BA09A" w:rsidR="00847270" w:rsidRDefault="00847270">
                        <w:r>
                          <w:rPr>
                            <w:rFonts w:ascii="Times New Roman" w:hAnsi="Times New Roman" w:cs="Times New Roman"/>
                            <w:color w:val="000000"/>
                            <w:sz w:val="24"/>
                            <w:szCs w:val="24"/>
                          </w:rPr>
                          <w:t>270,984</w:t>
                        </w:r>
                      </w:p>
                    </w:txbxContent>
                  </v:textbox>
                </v:rect>
                <v:rect id="Rectangle 180" o:spid="_x0000_s1056" style="position:absolute;left:45510;top:13042;width:76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lmxQAAAOMAAAAPAAAAZHJzL2Rvd25yZXYueG1sRE/NSgMx&#10;EL4LvkMYwZtNush2WZuWIhSqeOnWBxg2sz80mSxJ7K5vbwTB43z/s90vzoobhTh61rBeKRDErTcj&#10;9xo+L8enCkRMyAatZ9LwTRH2u/u7LdbGz3ymW5N6kUM41qhhSGmqpYztQA7jyk/Emet8cJjyGXpp&#10;As453FlZKFVKhyPnhgEneh2ovTZfToO8NMe5amxQ/r3oPuzb6dyR1/rxYTm8gEi0pH/xn/tk8vzn&#10;jaqKcr0p4fenDIDc/QAAAP//AwBQSwECLQAUAAYACAAAACEA2+H2y+4AAACFAQAAEwAAAAAAAAAA&#10;AAAAAAAAAAAAW0NvbnRlbnRfVHlwZXNdLnhtbFBLAQItABQABgAIAAAAIQBa9CxbvwAAABUBAAAL&#10;AAAAAAAAAAAAAAAAAB8BAABfcmVscy8ucmVsc1BLAQItABQABgAIAAAAIQBquqlmxQAAAOMAAAAP&#10;AAAAAAAAAAAAAAAAAAcCAABkcnMvZG93bnJldi54bWxQSwUGAAAAAAMAAwC3AAAA+QIAAAAA&#10;" filled="f" stroked="f">
                  <v:textbox style="mso-fit-shape-to-text:t" inset="0,0,0,0">
                    <w:txbxContent>
                      <w:p w14:paraId="19CC843D" w14:textId="2691E514" w:rsidR="00847270" w:rsidRDefault="00847270">
                        <w:r>
                          <w:rPr>
                            <w:rFonts w:ascii="Times New Roman" w:hAnsi="Times New Roman" w:cs="Times New Roman"/>
                            <w:color w:val="000000"/>
                            <w:sz w:val="24"/>
                            <w:szCs w:val="24"/>
                          </w:rPr>
                          <w:t xml:space="preserve">$    </w:t>
                        </w:r>
                      </w:p>
                    </w:txbxContent>
                  </v:textbox>
                </v:rect>
                <v:rect id="Rectangle 181" o:spid="_x0000_s1057" style="position:absolute;left:47802;top:13042;width:38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IwNyAAAAOIAAAAPAAAAZHJzL2Rvd25yZXYueG1sRI/dSgMx&#10;FITvhb5DOAXvbOIWtLs2LaVQqOJNtz7AYXP2B5OTJYnd9e2NIHg5zMw3zHY/OytuFOLgWcPjSoEg&#10;brwZuNPwcT09bEDEhGzQeiYN3xRhv1vcbbEyfuIL3erUiQzhWKGGPqWxkjI2PTmMKz8SZ6/1wWHK&#10;MnTSBJwy3FlZKPUkHQ6cF3oc6dhT81l/OQ3yWp+mTW2D8m9F+25fz5eWvNb3y/nwAiLRnP7Df+2z&#10;0VCuy+d1WaoCfi/lOyB3PwAAAP//AwBQSwECLQAUAAYACAAAACEA2+H2y+4AAACFAQAAEwAAAAAA&#10;AAAAAAAAAAAAAAAAW0NvbnRlbnRfVHlwZXNdLnhtbFBLAQItABQABgAIAAAAIQBa9CxbvwAAABUB&#10;AAALAAAAAAAAAAAAAAAAAB8BAABfcmVscy8ucmVsc1BLAQItABQABgAIAAAAIQDUvIwNyAAAAOIA&#10;AAAPAAAAAAAAAAAAAAAAAAcCAABkcnMvZG93bnJldi54bWxQSwUGAAAAAAMAAwC3AAAA/AIAAAAA&#10;" filled="f" stroked="f">
                  <v:textbox style="mso-fit-shape-to-text:t" inset="0,0,0,0">
                    <w:txbxContent>
                      <w:p w14:paraId="70A8B0BE" w14:textId="6750336E" w:rsidR="00847270" w:rsidRDefault="00847270">
                        <w:r>
                          <w:rPr>
                            <w:rFonts w:ascii="Times New Roman" w:hAnsi="Times New Roman" w:cs="Times New Roman"/>
                            <w:color w:val="000000"/>
                            <w:sz w:val="24"/>
                            <w:szCs w:val="24"/>
                          </w:rPr>
                          <w:t xml:space="preserve"> </w:t>
                        </w:r>
                      </w:p>
                    </w:txbxContent>
                  </v:textbox>
                </v:rect>
                <v:rect id="Rectangle 182" o:spid="_x0000_s1058" style="position:absolute;left:311;top:9359;width:2884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OGLxwAAAOIAAAAPAAAAZHJzL2Rvd25yZXYueG1sRI/dSgMx&#10;FITvBd8hHME7m3TBEtemRYRCFW+67QMcNmd/MDlZkthd394IgpfDzHzDbPeLd+JKMY2BDaxXCgRx&#10;G+zIvYHL+fCgQaSMbNEFJgPflGC/u73ZYm3DzCe6NrkXBcKpRgNDzlMtZWoH8phWYSIuXheix1xk&#10;7KWNOBe4d7JSaiM9jlwWBpzodaD2s/nyBuS5Ocy6cVGF96r7cG/HU0fBmPu75eUZRKYl/4f/2kdr&#10;oNJrpZ8e9QZ+L5U7IHc/AAAA//8DAFBLAQItABQABgAIAAAAIQDb4fbL7gAAAIUBAAATAAAAAAAA&#10;AAAAAAAAAAAAAABbQ29udGVudF9UeXBlc10ueG1sUEsBAi0AFAAGAAgAAAAhAFr0LFu/AAAAFQEA&#10;AAsAAAAAAAAAAAAAAAAAHwEAAF9yZWxzLy5yZWxzUEsBAi0AFAAGAAgAAAAhAEU84YvHAAAA4gAA&#10;AA8AAAAAAAAAAAAAAAAABwIAAGRycy9kb3ducmV2LnhtbFBLBQYAAAAAAwADALcAAAD7AgAAAAA=&#10;" filled="f" stroked="f">
                  <v:textbox style="mso-fit-shape-to-text:t" inset="0,0,0,0">
                    <w:txbxContent>
                      <w:p w14:paraId="2BD637A9" w14:textId="1BFDB000" w:rsidR="00847270" w:rsidRDefault="00847270">
                        <w:r>
                          <w:rPr>
                            <w:rFonts w:ascii="Times New Roman" w:hAnsi="Times New Roman" w:cs="Times New Roman"/>
                            <w:color w:val="000000"/>
                            <w:sz w:val="24"/>
                            <w:szCs w:val="24"/>
                          </w:rPr>
                          <w:t xml:space="preserve">Depreciation on capital assets held in the City's </w:t>
                        </w:r>
                      </w:p>
                    </w:txbxContent>
                  </v:textbox>
                </v:rect>
                <v:rect id="Rectangle 183" o:spid="_x0000_s1059" style="position:absolute;left:311;top:11226;width:3009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3TZxgAAAOMAAAAPAAAAZHJzL2Rvd25yZXYueG1sRE/NagIx&#10;EL4XfIcwQm81u4p12RpFCoItvbj2AYbN7A8mkyVJ3e3bNwXB43z/s91P1ogb+dA7VpAvMhDEtdM9&#10;twq+L8eXAkSIyBqNY1LwSwH2u9nTFkvtRj7TrYqtSCEcSlTQxTiUUoa6I4th4QbixDXOW4zp9K3U&#10;HscUbo1cZtmrtNhzauhwoPeO6mv1YxXIS3Uci8r4zH0umy/zcTo35JR6nk+HNxCRpvgQ390nneZv&#10;8nxTrNerFfz/lACQuz8AAAD//wMAUEsBAi0AFAAGAAgAAAAhANvh9svuAAAAhQEAABMAAAAAAAAA&#10;AAAAAAAAAAAAAFtDb250ZW50X1R5cGVzXS54bWxQSwECLQAUAAYACAAAACEAWvQsW78AAAAVAQAA&#10;CwAAAAAAAAAAAAAAAAAfAQAAX3JlbHMvLnJlbHNQSwECLQAUAAYACAAAACEATzt02cYAAADjAAAA&#10;DwAAAAAAAAAAAAAAAAAHAgAAZHJzL2Rvd25yZXYueG1sUEsFBgAAAAADAAMAtwAAAPoCAAAAAA==&#10;" filled="f" stroked="f">
                  <v:textbox style="mso-fit-shape-to-text:t" inset="0,0,0,0">
                    <w:txbxContent>
                      <w:p w14:paraId="7A5D674E" w14:textId="59F03104" w:rsidR="00847270" w:rsidRDefault="00847270">
                        <w:r>
                          <w:rPr>
                            <w:rFonts w:ascii="Times New Roman" w:hAnsi="Times New Roman" w:cs="Times New Roman"/>
                            <w:color w:val="000000"/>
                            <w:sz w:val="24"/>
                            <w:szCs w:val="24"/>
                          </w:rPr>
                          <w:t xml:space="preserve">  service fund charged to function based on usage</w:t>
                        </w:r>
                      </w:p>
                    </w:txbxContent>
                  </v:textbox>
                </v:rect>
                <v:line id="Line 184" o:spid="_x0000_s1060" style="position:absolute;visibility:visible;mso-wrap-style:square" from="44748,12998" to="53740,1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hyAAAAOMAAAAPAAAAZHJzL2Rvd25yZXYueG1sRE9fa8Iw&#10;EH8X9h3CDXzTtJ1ztRpljA31bXMKPh7NrQ02l9JE7b79Igx8vN//W6x624gLdd44VpCOExDEpdOG&#10;KwX7749RDsIHZI2NY1LwSx5Wy4fBAgvtrvxFl12oRAxhX6CCOoS2kNKXNVn0Y9cSR+7HdRZDPLtK&#10;6g6vMdw2MkuSqbRoODbU2NJbTeVpd7YKzOd0/bx9OcwO8n0d0mN+yo3dKzV87F/nIAL14S7+d290&#10;nJ9O8lk2yZInuP0UAZDLPwAAAP//AwBQSwECLQAUAAYACAAAACEA2+H2y+4AAACFAQAAEwAAAAAA&#10;AAAAAAAAAAAAAAAAW0NvbnRlbnRfVHlwZXNdLnhtbFBLAQItABQABgAIAAAAIQBa9CxbvwAAABUB&#10;AAALAAAAAAAAAAAAAAAAAB8BAABfcmVscy8ucmVsc1BLAQItABQABgAIAAAAIQDa9MShyAAAAOMA&#10;AAAPAAAAAAAAAAAAAAAAAAcCAABkcnMvZG93bnJldi54bWxQSwUGAAAAAAMAAwC3AAAA/AIAAAAA&#10;" strokeweight="0"/>
                <v:rect id="Rectangle 185" o:spid="_x0000_s1061" style="position:absolute;left:44748;top:12998;width:8992;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FviyQAAAOMAAAAPAAAAZHJzL2Rvd25yZXYueG1sRE9PT8Iw&#10;FL+b8B2aZ+JNOqc2Y1IImJh4MRH0ALfH+twW1tfZVph8ekpi4vH9/r/pfLCdOJAPrWMNd+MMBHHl&#10;TMu1hs+Pl9sCRIjIBjvHpOGXAsxno6splsYdeUWHdaxFCuFQooYmxr6UMlQNWQxj1xMn7st5izGd&#10;vpbG4zGF207mWaakxZZTQ4M9PTdU7dc/VsNyUiy/3x/47bTabWm72e0fc59pfXM9LJ5ARBriv/jP&#10;/WrS/EKpXOX3SsHlpwSAnJ0BAAD//wMAUEsBAi0AFAAGAAgAAAAhANvh9svuAAAAhQEAABMAAAAA&#10;AAAAAAAAAAAAAAAAAFtDb250ZW50X1R5cGVzXS54bWxQSwECLQAUAAYACAAAACEAWvQsW78AAAAV&#10;AQAACwAAAAAAAAAAAAAAAAAfAQAAX3JlbHMvLnJlbHNQSwECLQAUAAYACAAAACEAoiBb4skAAADj&#10;AAAADwAAAAAAAAAAAAAAAAAHAgAAZHJzL2Rvd25yZXYueG1sUEsFBgAAAAADAAMAtwAAAP0CAAAA&#10;AA==&#10;" fillcolor="black" stroked="f"/>
                <v:rect id="Rectangle 186" o:spid="_x0000_s1062" style="position:absolute;left:44748;top:14820;width:8992;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4TGywAAAOEAAAAPAAAAZHJzL2Rvd25yZXYueG1sRI9Ba8JA&#10;FITvQv/D8gredNOQlDR1lVooeBGq7aHentnXJJh9m+6uGv313YLQ4zAz3zCzxWA6cSLnW8sKHqYJ&#10;COLK6pZrBZ8fb5MChA/IGjvLpOBCHhbzu9EMS23PvKHTNtQiQtiXqKAJoS+l9FVDBv3U9sTR+7bO&#10;YIjS1VI7PEe46WSaJI/SYMtxocGeXhuqDtujUbB8KpY/7xmvr5v9jnZf+0OeukSp8f3w8gwi0BD+&#10;w7f2SivIs7TIijyDv0fxDcj5LwAAAP//AwBQSwECLQAUAAYACAAAACEA2+H2y+4AAACFAQAAEwAA&#10;AAAAAAAAAAAAAAAAAAAAW0NvbnRlbnRfVHlwZXNdLnhtbFBLAQItABQABgAIAAAAIQBa9CxbvwAA&#10;ABUBAAALAAAAAAAAAAAAAAAAAB8BAABfcmVscy8ucmVsc1BLAQItABQABgAIAAAAIQCea4TGywAA&#10;AOEAAAAPAAAAAAAAAAAAAAAAAAcCAABkcnMvZG93bnJldi54bWxQSwUGAAAAAAMAAwC3AAAA/wIA&#10;AAAA&#10;" fillcolor="black" stroked="f"/>
                <v:rect id="Rectangle 187" o:spid="_x0000_s1063" style="position:absolute;left:44748;top:15062;width:8992;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gBywAAAOIAAAAPAAAAZHJzL2Rvd25yZXYueG1sRI+9bsIw&#10;FIX3Sn0H61ZiK04TKBAwqCAhsVQqlAG2S3ybRMTXqW0g7dPjoVLHo/Onb7boTCOu5HxtWcFLPwFB&#10;XFhdc6lg/7l+HoPwAVljY5kU/JCHxfzxYYa5tjfe0nUXShFH2OeooAqhzaX0RUUGfd+2xNH7ss5g&#10;iNKVUju8xXHTyDRJXqXBmuNDhS2tKirOu4tRsJyMl98fA37/3Z6OdDyczsPUJUr1nrq3KYhAXfgP&#10;/7U3WsEkGwzTbJRFiIgUcUDO7wAAAP//AwBQSwECLQAUAAYACAAAACEA2+H2y+4AAACFAQAAEwAA&#10;AAAAAAAAAAAAAAAAAAAAW0NvbnRlbnRfVHlwZXNdLnhtbFBLAQItABQABgAIAAAAIQBa9CxbvwAA&#10;ABUBAAALAAAAAAAAAAAAAAAAAB8BAABfcmVscy8ucmVsc1BLAQItABQABgAIAAAAIQBDBvgBywAA&#10;AOIAAAAPAAAAAAAAAAAAAAAAAAcCAABkcnMvZG93bnJldi54bWxQSwUGAAAAAAMAAwC3AAAA/wIA&#10;AAAA&#10;" fillcolor="black" stroked="f"/>
              </v:group>
            </w:pict>
          </mc:Fallback>
        </mc:AlternateContent>
      </w:r>
    </w:p>
    <w:p w14:paraId="33DCE3D9" w14:textId="24F07D71" w:rsidR="00B073B3" w:rsidRPr="004B0DA6" w:rsidRDefault="00B073B3" w:rsidP="00203597">
      <w:pPr>
        <w:widowControl w:val="0"/>
        <w:spacing w:after="0"/>
        <w:jc w:val="both"/>
        <w:rPr>
          <w:rFonts w:ascii="Times New Roman" w:hAnsi="Times New Roman" w:cs="Times New Roman"/>
          <w:sz w:val="24"/>
        </w:rPr>
      </w:pPr>
    </w:p>
    <w:p w14:paraId="5DD4CD97" w14:textId="47DFF232" w:rsidR="00B073B3" w:rsidRPr="004B0DA6" w:rsidRDefault="00B073B3" w:rsidP="00203597">
      <w:pPr>
        <w:widowControl w:val="0"/>
        <w:spacing w:after="0"/>
        <w:jc w:val="both"/>
        <w:rPr>
          <w:rFonts w:ascii="Times New Roman" w:hAnsi="Times New Roman" w:cs="Times New Roman"/>
          <w:sz w:val="24"/>
        </w:rPr>
      </w:pPr>
    </w:p>
    <w:p w14:paraId="755B47EB" w14:textId="49E307D1" w:rsidR="00B073B3" w:rsidRPr="004B0DA6" w:rsidRDefault="00B073B3" w:rsidP="00203597">
      <w:pPr>
        <w:widowControl w:val="0"/>
        <w:spacing w:after="0"/>
        <w:jc w:val="both"/>
        <w:rPr>
          <w:rFonts w:ascii="Times New Roman" w:hAnsi="Times New Roman" w:cs="Times New Roman"/>
          <w:sz w:val="24"/>
        </w:rPr>
      </w:pPr>
    </w:p>
    <w:p w14:paraId="25AFCA19" w14:textId="63E8ED82" w:rsidR="00B073B3" w:rsidRPr="004B0DA6" w:rsidRDefault="00B073B3" w:rsidP="00203597">
      <w:pPr>
        <w:widowControl w:val="0"/>
        <w:spacing w:after="0"/>
        <w:jc w:val="both"/>
        <w:rPr>
          <w:rFonts w:ascii="Times New Roman" w:hAnsi="Times New Roman" w:cs="Times New Roman"/>
          <w:sz w:val="24"/>
        </w:rPr>
      </w:pPr>
    </w:p>
    <w:p w14:paraId="79EC788D" w14:textId="77777777" w:rsidR="00B073B3" w:rsidRPr="004B0DA6" w:rsidRDefault="00B073B3" w:rsidP="00203597">
      <w:pPr>
        <w:widowControl w:val="0"/>
        <w:spacing w:after="0"/>
        <w:jc w:val="both"/>
        <w:rPr>
          <w:rFonts w:ascii="Times New Roman" w:hAnsi="Times New Roman" w:cs="Times New Roman"/>
          <w:sz w:val="24"/>
        </w:rPr>
      </w:pPr>
    </w:p>
    <w:p w14:paraId="351BC62D" w14:textId="547CBF95" w:rsidR="00F05FCD" w:rsidRPr="004B0DA6" w:rsidRDefault="00F05FCD" w:rsidP="00203597">
      <w:pPr>
        <w:widowControl w:val="0"/>
        <w:spacing w:after="0"/>
        <w:jc w:val="both"/>
        <w:rPr>
          <w:rFonts w:ascii="Times New Roman" w:hAnsi="Times New Roman" w:cs="Times New Roman"/>
          <w:sz w:val="24"/>
        </w:rPr>
      </w:pPr>
    </w:p>
    <w:p w14:paraId="30AB93E8" w14:textId="448000E1" w:rsidR="00A838B8" w:rsidRPr="004B0DA6" w:rsidRDefault="00A838B8" w:rsidP="00203597">
      <w:pPr>
        <w:spacing w:after="0"/>
        <w:jc w:val="center"/>
        <w:rPr>
          <w:rFonts w:ascii="Times New Roman" w:hAnsi="Times New Roman" w:cs="Times New Roman"/>
        </w:rPr>
      </w:pPr>
    </w:p>
    <w:p w14:paraId="1744AF7E" w14:textId="77777777" w:rsidR="00337CC4" w:rsidRPr="004B0DA6" w:rsidRDefault="00337CC4" w:rsidP="00203597">
      <w:pPr>
        <w:spacing w:after="0"/>
        <w:jc w:val="center"/>
        <w:rPr>
          <w:rFonts w:ascii="Times New Roman" w:hAnsi="Times New Roman" w:cs="Times New Roman"/>
        </w:rPr>
      </w:pPr>
    </w:p>
    <w:p w14:paraId="70662BE9" w14:textId="77777777" w:rsidR="00337CC4" w:rsidRPr="004B0DA6" w:rsidRDefault="00337CC4" w:rsidP="00203597">
      <w:pPr>
        <w:spacing w:after="0"/>
        <w:jc w:val="center"/>
        <w:rPr>
          <w:rFonts w:ascii="Times New Roman" w:hAnsi="Times New Roman" w:cs="Times New Roman"/>
        </w:rPr>
      </w:pPr>
    </w:p>
    <w:p w14:paraId="4B7C810F" w14:textId="77777777" w:rsidR="00337CC4" w:rsidRPr="004B0DA6" w:rsidRDefault="00337CC4" w:rsidP="00203597">
      <w:pPr>
        <w:spacing w:after="0"/>
        <w:jc w:val="center"/>
        <w:rPr>
          <w:rFonts w:ascii="Times New Roman" w:hAnsi="Times New Roman" w:cs="Times New Roman"/>
        </w:rPr>
      </w:pPr>
    </w:p>
    <w:p w14:paraId="4AD595B0" w14:textId="77777777" w:rsidR="00337CC4" w:rsidRPr="004B0DA6" w:rsidRDefault="00337CC4" w:rsidP="00203597">
      <w:pPr>
        <w:spacing w:after="0"/>
        <w:jc w:val="center"/>
        <w:rPr>
          <w:rFonts w:ascii="Times New Roman" w:hAnsi="Times New Roman" w:cs="Times New Roman"/>
        </w:rPr>
      </w:pPr>
    </w:p>
    <w:p w14:paraId="35CC6238" w14:textId="77777777" w:rsidR="00B073B3" w:rsidRPr="004B0DA6" w:rsidRDefault="00B073B3" w:rsidP="00203597">
      <w:pPr>
        <w:spacing w:after="0"/>
        <w:jc w:val="center"/>
        <w:rPr>
          <w:rFonts w:ascii="Times New Roman" w:hAnsi="Times New Roman" w:cs="Times New Roman"/>
        </w:rPr>
      </w:pPr>
    </w:p>
    <w:bookmarkStart w:id="14" w:name="_MON_1792567601"/>
    <w:bookmarkEnd w:id="14"/>
    <w:p w14:paraId="7E9E6A4E" w14:textId="17E21B87" w:rsidR="00337CC4" w:rsidRPr="004B0DA6" w:rsidRDefault="00D43250" w:rsidP="00337CC4">
      <w:pPr>
        <w:rPr>
          <w:rFonts w:ascii="Times New Roman" w:hAnsi="Times New Roman" w:cs="Times New Roman"/>
        </w:rPr>
      </w:pPr>
      <w:r w:rsidRPr="004B0DA6">
        <w:rPr>
          <w:rFonts w:ascii="Times New Roman" w:hAnsi="Times New Roman" w:cs="Times New Roman"/>
        </w:rPr>
        <w:object w:dxaOrig="10335" w:dyaOrig="6583" w14:anchorId="0EF1706D">
          <v:shape id="_x0000_i1028" type="#_x0000_t75" style="width:481.5pt;height:333.75pt" o:ole="">
            <v:imagedata r:id="rId26" o:title=""/>
          </v:shape>
          <o:OLEObject Type="Embed" ProgID="Excel.Sheet.8" ShapeID="_x0000_i1028" DrawAspect="Content" ObjectID="_1793012022" r:id="rId27"/>
        </w:object>
      </w:r>
    </w:p>
    <w:p w14:paraId="284ABEB3" w14:textId="7D7346BD" w:rsidR="006F3DC8" w:rsidRPr="004B0DA6" w:rsidRDefault="00337CC4" w:rsidP="005D43C6">
      <w:pPr>
        <w:spacing w:after="0"/>
        <w:jc w:val="center"/>
        <w:rPr>
          <w:rFonts w:ascii="Times New Roman" w:hAnsi="Times New Roman" w:cs="Times New Roman"/>
        </w:rPr>
      </w:pPr>
      <w:r w:rsidRPr="004B0DA6" w:rsidDel="00337CC4">
        <w:rPr>
          <w:rFonts w:ascii="Times New Roman" w:hAnsi="Times New Roman" w:cs="Times New Roman"/>
        </w:rPr>
        <w:lastRenderedPageBreak/>
        <w:t xml:space="preserve"> </w:t>
      </w:r>
      <w:bookmarkStart w:id="15" w:name="_MON_1219504466"/>
      <w:bookmarkStart w:id="16" w:name="_MON_1219504566"/>
      <w:bookmarkStart w:id="17" w:name="_MON_1247920726"/>
      <w:bookmarkStart w:id="18" w:name="_MON_1270022557"/>
      <w:bookmarkStart w:id="19" w:name="_MON_1270036580"/>
      <w:bookmarkStart w:id="20" w:name="_MON_1270963230"/>
      <w:bookmarkStart w:id="21" w:name="_MON_1270989685"/>
      <w:bookmarkStart w:id="22" w:name="_MON_1271053956"/>
      <w:bookmarkStart w:id="23" w:name="_MON_1278841943"/>
      <w:bookmarkStart w:id="24" w:name="_MON_1153731607"/>
      <w:bookmarkStart w:id="25" w:name="_MON_1156061626"/>
      <w:bookmarkStart w:id="26" w:name="_MON_1186224018"/>
      <w:bookmarkStart w:id="27" w:name="_MON_1186298057"/>
      <w:bookmarkStart w:id="28" w:name="_MON_1186299272"/>
      <w:bookmarkStart w:id="29" w:name="_MON_1186299336"/>
      <w:bookmarkStart w:id="30" w:name="_MON_1186299442"/>
      <w:bookmarkStart w:id="31" w:name="_MON_1217653724"/>
      <w:bookmarkStart w:id="32" w:name="OLE_LINK2"/>
      <w:bookmarkStart w:id="33" w:name="OLE_LINK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4" w:name="_MON_1217653732"/>
      <w:bookmarkEnd w:id="34"/>
      <w:r w:rsidR="00C80E98" w:rsidRPr="004B0DA6">
        <w:rPr>
          <w:rFonts w:ascii="Times New Roman" w:hAnsi="Times New Roman" w:cs="Times New Roman"/>
        </w:rPr>
        <w:object w:dxaOrig="12670" w:dyaOrig="10502" w14:anchorId="50BA3342">
          <v:shape id="_x0000_i1029" type="#_x0000_t75" style="width:459pt;height:382.5pt" o:ole="">
            <v:imagedata r:id="rId28" o:title=""/>
          </v:shape>
          <o:OLEObject Type="Embed" ProgID="Excel.Sheet.8" ShapeID="_x0000_i1029" DrawAspect="Content" ObjectID="_1793012023" r:id="rId29"/>
        </w:object>
      </w:r>
      <w:bookmarkEnd w:id="32"/>
      <w:bookmarkEnd w:id="33"/>
    </w:p>
    <w:p w14:paraId="74987057" w14:textId="6C2D8D3F" w:rsidR="0056179C" w:rsidRPr="004B0DA6" w:rsidRDefault="00676335" w:rsidP="005D43C6">
      <w:pPr>
        <w:spacing w:after="0"/>
        <w:rPr>
          <w:rFonts w:ascii="Times New Roman" w:hAnsi="Times New Roman" w:cs="Times New Roman"/>
        </w:rPr>
      </w:pPr>
      <w:r w:rsidRPr="004B0DA6">
        <w:rPr>
          <w:rFonts w:ascii="Times New Roman" w:hAnsi="Times New Roman" w:cs="Times New Roman"/>
        </w:rPr>
        <w:t>C</w:t>
      </w:r>
      <w:r w:rsidR="0056179C" w:rsidRPr="004B0DA6">
        <w:rPr>
          <w:rFonts w:ascii="Times New Roman" w:hAnsi="Times New Roman" w:cs="Times New Roman"/>
          <w:b/>
          <w:sz w:val="24"/>
        </w:rPr>
        <w:t>onstruction commitments</w:t>
      </w:r>
    </w:p>
    <w:p w14:paraId="248B9EFB" w14:textId="77777777" w:rsidR="005D43C6" w:rsidRPr="004B0DA6" w:rsidRDefault="005D43C6" w:rsidP="00203597">
      <w:pPr>
        <w:keepNext/>
        <w:spacing w:after="0"/>
        <w:jc w:val="both"/>
        <w:rPr>
          <w:rFonts w:ascii="Times New Roman" w:hAnsi="Times New Roman" w:cs="Times New Roman"/>
          <w:sz w:val="24"/>
        </w:rPr>
      </w:pPr>
    </w:p>
    <w:p w14:paraId="5B216435" w14:textId="4714E9B3" w:rsidR="00676335" w:rsidRPr="004B0DA6" w:rsidRDefault="0056179C" w:rsidP="00203597">
      <w:pPr>
        <w:keepNext/>
        <w:spacing w:after="0"/>
        <w:jc w:val="both"/>
        <w:rPr>
          <w:rFonts w:ascii="Times New Roman" w:hAnsi="Times New Roman" w:cs="Times New Roman"/>
          <w:sz w:val="24"/>
        </w:rPr>
      </w:pPr>
      <w:r w:rsidRPr="004B0DA6">
        <w:rPr>
          <w:rFonts w:ascii="Times New Roman" w:hAnsi="Times New Roman" w:cs="Times New Roman"/>
          <w:sz w:val="24"/>
        </w:rPr>
        <w:t xml:space="preserve">The government has active construction projects as of June 30, </w:t>
      </w:r>
      <w:r w:rsidR="00A85B23" w:rsidRPr="004B0DA6">
        <w:rPr>
          <w:rFonts w:ascii="Times New Roman" w:hAnsi="Times New Roman" w:cs="Times New Roman"/>
          <w:sz w:val="24"/>
        </w:rPr>
        <w:t>202</w:t>
      </w:r>
      <w:r w:rsidR="0013633E" w:rsidRPr="004B0DA6">
        <w:rPr>
          <w:rFonts w:ascii="Times New Roman" w:hAnsi="Times New Roman" w:cs="Times New Roman"/>
          <w:sz w:val="24"/>
        </w:rPr>
        <w:t>4</w:t>
      </w:r>
      <w:r w:rsidRPr="004B0DA6">
        <w:rPr>
          <w:rFonts w:ascii="Times New Roman" w:hAnsi="Times New Roman" w:cs="Times New Roman"/>
          <w:sz w:val="24"/>
        </w:rPr>
        <w:t>. At year-end, the government’s commitments with contractors are as follows:</w:t>
      </w:r>
    </w:p>
    <w:p w14:paraId="5BD67ED5" w14:textId="3FF1E9B0" w:rsidR="00676335" w:rsidRPr="004B0DA6" w:rsidRDefault="00234F1C" w:rsidP="00203597">
      <w:pPr>
        <w:keepNext/>
        <w:spacing w:after="0"/>
        <w:jc w:val="center"/>
        <w:rPr>
          <w:rFonts w:ascii="Times New Roman" w:hAnsi="Times New Roman" w:cs="Times New Roman"/>
          <w:sz w:val="24"/>
        </w:rPr>
      </w:pPr>
      <w:r>
        <w:rPr>
          <w:rFonts w:ascii="Times New Roman" w:hAnsi="Times New Roman" w:cs="Times New Roman"/>
          <w:noProof/>
          <w:sz w:val="24"/>
        </w:rPr>
        <w:object w:dxaOrig="1440" w:dyaOrig="1440" w14:anchorId="56A2615F">
          <v:shape id="_x0000_s2170" type="#_x0000_t75" style="position:absolute;left:0;text-align:left;margin-left:-.2pt;margin-top:4.15pt;width:376.7pt;height:109.1pt;z-index:251701248">
            <v:imagedata r:id="rId30" o:title=""/>
            <w10:wrap type="topAndBottom"/>
          </v:shape>
          <o:OLEObject Type="Embed" ProgID="Excel.Sheet.8" ShapeID="_x0000_s2170" DrawAspect="Content" ObjectID="_1793012044" r:id="rId31"/>
        </w:object>
      </w:r>
    </w:p>
    <w:p w14:paraId="436B8F1F" w14:textId="16159FF7" w:rsidR="00CB15A5" w:rsidRPr="004B0DA6" w:rsidRDefault="00CB15A5" w:rsidP="00203597">
      <w:pPr>
        <w:keepNext/>
        <w:spacing w:after="0"/>
        <w:jc w:val="both"/>
        <w:rPr>
          <w:rFonts w:ascii="Times New Roman" w:hAnsi="Times New Roman" w:cs="Times New Roman"/>
          <w:sz w:val="24"/>
        </w:rPr>
      </w:pPr>
    </w:p>
    <w:p w14:paraId="6F81F09C" w14:textId="2F3A714C" w:rsidR="00997C1E" w:rsidRPr="004B0DA6" w:rsidRDefault="00997C1E" w:rsidP="00203597">
      <w:pPr>
        <w:keepNext/>
        <w:spacing w:after="0"/>
        <w:jc w:val="center"/>
        <w:rPr>
          <w:rFonts w:ascii="Times New Roman" w:hAnsi="Times New Roman" w:cs="Times New Roman"/>
          <w:sz w:val="24"/>
        </w:rPr>
      </w:pPr>
    </w:p>
    <w:p w14:paraId="679021EB" w14:textId="77777777" w:rsidR="00997C1E" w:rsidRPr="004B0DA6" w:rsidRDefault="00997C1E" w:rsidP="00203597">
      <w:pPr>
        <w:spacing w:after="0"/>
        <w:rPr>
          <w:rFonts w:ascii="Times New Roman" w:hAnsi="Times New Roman" w:cs="Times New Roman"/>
          <w:b/>
          <w:bCs/>
          <w:sz w:val="24"/>
        </w:rPr>
      </w:pPr>
    </w:p>
    <w:p w14:paraId="275B3792" w14:textId="77777777" w:rsidR="00337CC4" w:rsidRPr="004B0DA6" w:rsidRDefault="00337CC4" w:rsidP="00203597">
      <w:pPr>
        <w:spacing w:after="0"/>
        <w:rPr>
          <w:rFonts w:ascii="Times New Roman" w:hAnsi="Times New Roman" w:cs="Times New Roman"/>
          <w:b/>
          <w:bCs/>
          <w:sz w:val="24"/>
        </w:rPr>
      </w:pPr>
    </w:p>
    <w:p w14:paraId="51950F7C" w14:textId="77777777" w:rsidR="00337CC4" w:rsidRPr="004B0DA6" w:rsidRDefault="00337CC4" w:rsidP="00203597">
      <w:pPr>
        <w:spacing w:after="0"/>
        <w:rPr>
          <w:rFonts w:ascii="Times New Roman" w:hAnsi="Times New Roman" w:cs="Times New Roman"/>
          <w:b/>
          <w:bCs/>
          <w:sz w:val="24"/>
        </w:rPr>
      </w:pPr>
    </w:p>
    <w:p w14:paraId="7B15E284" w14:textId="77777777" w:rsidR="00337CC4" w:rsidRPr="004B0DA6" w:rsidRDefault="00337CC4" w:rsidP="00203597">
      <w:pPr>
        <w:spacing w:after="0"/>
        <w:rPr>
          <w:rFonts w:ascii="Times New Roman" w:hAnsi="Times New Roman" w:cs="Times New Roman"/>
          <w:b/>
          <w:bCs/>
          <w:sz w:val="24"/>
        </w:rPr>
      </w:pPr>
    </w:p>
    <w:p w14:paraId="11B8A17B" w14:textId="11C98592" w:rsidR="00CB15A5" w:rsidRPr="004B0DA6" w:rsidRDefault="0056179C" w:rsidP="00203597">
      <w:pPr>
        <w:spacing w:after="0"/>
        <w:rPr>
          <w:rFonts w:ascii="Times New Roman" w:hAnsi="Times New Roman" w:cs="Times New Roman"/>
          <w:b/>
          <w:bCs/>
          <w:sz w:val="24"/>
        </w:rPr>
      </w:pPr>
      <w:r w:rsidRPr="004B0DA6">
        <w:rPr>
          <w:rFonts w:ascii="Times New Roman" w:hAnsi="Times New Roman" w:cs="Times New Roman"/>
          <w:b/>
          <w:bCs/>
          <w:sz w:val="24"/>
        </w:rPr>
        <w:t>Discretely presented component unit</w:t>
      </w:r>
      <w:r w:rsidR="00CB15A5" w:rsidRPr="004B0DA6">
        <w:rPr>
          <w:rFonts w:ascii="Times New Roman" w:hAnsi="Times New Roman" w:cs="Times New Roman"/>
          <w:b/>
          <w:bCs/>
          <w:sz w:val="24"/>
        </w:rPr>
        <w:t xml:space="preserve"> </w:t>
      </w:r>
    </w:p>
    <w:p w14:paraId="33462F8A" w14:textId="08566234" w:rsidR="0056179C" w:rsidRPr="004B0DA6" w:rsidRDefault="00234F1C" w:rsidP="00203597">
      <w:pPr>
        <w:spacing w:after="0"/>
        <w:rPr>
          <w:rFonts w:ascii="Times New Roman" w:hAnsi="Times New Roman" w:cs="Times New Roman"/>
          <w:sz w:val="24"/>
        </w:rPr>
      </w:pPr>
      <w:r>
        <w:rPr>
          <w:rFonts w:ascii="Times New Roman" w:hAnsi="Times New Roman" w:cs="Times New Roman"/>
          <w:noProof/>
        </w:rPr>
        <w:object w:dxaOrig="1440" w:dyaOrig="1440" w14:anchorId="2E7E5EAB">
          <v:shape id="_x0000_s2100" type="#_x0000_t75" style="position:absolute;margin-left:-4.95pt;margin-top:28.25pt;width:396.25pt;height:201.75pt;z-index:251691008">
            <v:imagedata r:id="rId32" o:title=""/>
            <w10:wrap type="topAndBottom"/>
          </v:shape>
          <o:OLEObject Type="Embed" ProgID="Excel.Sheet.8" ShapeID="_x0000_s2100" DrawAspect="Content" ObjectID="_1793012045" r:id="rId33"/>
        </w:object>
      </w:r>
      <w:r w:rsidR="00C65E2F" w:rsidRPr="004B0DA6">
        <w:rPr>
          <w:rFonts w:ascii="Times New Roman" w:hAnsi="Times New Roman" w:cs="Times New Roman"/>
          <w:sz w:val="24"/>
        </w:rPr>
        <w:t>Capital asset a</w:t>
      </w:r>
      <w:r w:rsidR="0056179C" w:rsidRPr="004B0DA6">
        <w:rPr>
          <w:rFonts w:ascii="Times New Roman" w:hAnsi="Times New Roman" w:cs="Times New Roman"/>
          <w:sz w:val="24"/>
        </w:rPr>
        <w:t xml:space="preserve">ctivity for the ABC Board for the year ended June 30, </w:t>
      </w:r>
      <w:r w:rsidR="00A85B23" w:rsidRPr="004B0DA6">
        <w:rPr>
          <w:rFonts w:ascii="Times New Roman" w:hAnsi="Times New Roman" w:cs="Times New Roman"/>
          <w:sz w:val="24"/>
        </w:rPr>
        <w:t>202</w:t>
      </w:r>
      <w:r w:rsidR="0013633E" w:rsidRPr="004B0DA6">
        <w:rPr>
          <w:rFonts w:ascii="Times New Roman" w:hAnsi="Times New Roman" w:cs="Times New Roman"/>
          <w:sz w:val="24"/>
        </w:rPr>
        <w:t>4</w:t>
      </w:r>
      <w:r w:rsidR="0056179C" w:rsidRPr="004B0DA6">
        <w:rPr>
          <w:rFonts w:ascii="Times New Roman" w:hAnsi="Times New Roman" w:cs="Times New Roman"/>
          <w:sz w:val="24"/>
        </w:rPr>
        <w:t>, was as follows:</w:t>
      </w:r>
    </w:p>
    <w:p w14:paraId="348DE7A0" w14:textId="77777777" w:rsidR="0078323A" w:rsidRPr="004B0DA6" w:rsidRDefault="0078323A" w:rsidP="00203597">
      <w:pPr>
        <w:spacing w:after="0"/>
        <w:rPr>
          <w:rFonts w:ascii="Times New Roman" w:hAnsi="Times New Roman" w:cs="Times New Roman"/>
          <w:sz w:val="24"/>
        </w:rPr>
      </w:pPr>
    </w:p>
    <w:p w14:paraId="4C20EA0D" w14:textId="77777777" w:rsidR="00360BA5" w:rsidRPr="004B0DA6" w:rsidRDefault="00360BA5" w:rsidP="00203597">
      <w:pPr>
        <w:spacing w:after="0"/>
        <w:rPr>
          <w:rFonts w:ascii="Times New Roman" w:hAnsi="Times New Roman" w:cs="Times New Roman"/>
          <w:sz w:val="24"/>
        </w:rPr>
      </w:pPr>
    </w:p>
    <w:p w14:paraId="4C472642" w14:textId="77777777" w:rsidR="00360BA5" w:rsidRPr="004B0DA6" w:rsidRDefault="00360BA5" w:rsidP="00203597">
      <w:pPr>
        <w:spacing w:after="0"/>
        <w:rPr>
          <w:rFonts w:ascii="Times New Roman" w:hAnsi="Times New Roman" w:cs="Times New Roman"/>
          <w:sz w:val="24"/>
        </w:rPr>
      </w:pPr>
    </w:p>
    <w:p w14:paraId="1711667B" w14:textId="77777777" w:rsidR="00360BA5" w:rsidRPr="004B0DA6" w:rsidRDefault="00360BA5" w:rsidP="00203597">
      <w:pPr>
        <w:spacing w:after="0"/>
        <w:rPr>
          <w:rFonts w:ascii="Times New Roman" w:hAnsi="Times New Roman" w:cs="Times New Roman"/>
          <w:sz w:val="24"/>
        </w:rPr>
      </w:pPr>
    </w:p>
    <w:p w14:paraId="249BD89A" w14:textId="77777777" w:rsidR="00360BA5" w:rsidRPr="004B0DA6" w:rsidRDefault="00360BA5" w:rsidP="00203597">
      <w:pPr>
        <w:spacing w:after="0"/>
        <w:rPr>
          <w:rFonts w:ascii="Times New Roman" w:hAnsi="Times New Roman" w:cs="Times New Roman"/>
          <w:sz w:val="24"/>
        </w:rPr>
      </w:pPr>
    </w:p>
    <w:p w14:paraId="3DB40A4D" w14:textId="77777777" w:rsidR="00360BA5" w:rsidRPr="004B0DA6" w:rsidRDefault="00360BA5" w:rsidP="00203597">
      <w:pPr>
        <w:spacing w:after="0"/>
        <w:rPr>
          <w:rFonts w:ascii="Times New Roman" w:hAnsi="Times New Roman" w:cs="Times New Roman"/>
          <w:sz w:val="24"/>
        </w:rPr>
      </w:pPr>
    </w:p>
    <w:p w14:paraId="63D9E0DB" w14:textId="77777777" w:rsidR="00360BA5" w:rsidRPr="004B0DA6" w:rsidRDefault="00360BA5" w:rsidP="00203597">
      <w:pPr>
        <w:spacing w:after="0"/>
        <w:rPr>
          <w:rFonts w:ascii="Times New Roman" w:hAnsi="Times New Roman" w:cs="Times New Roman"/>
          <w:sz w:val="24"/>
        </w:rPr>
      </w:pPr>
    </w:p>
    <w:p w14:paraId="2526BB77" w14:textId="77777777" w:rsidR="00360BA5" w:rsidRPr="004B0DA6" w:rsidRDefault="00360BA5" w:rsidP="00203597">
      <w:pPr>
        <w:spacing w:after="0"/>
        <w:rPr>
          <w:rFonts w:ascii="Times New Roman" w:hAnsi="Times New Roman" w:cs="Times New Roman"/>
          <w:sz w:val="24"/>
        </w:rPr>
      </w:pPr>
    </w:p>
    <w:p w14:paraId="4ACC740A" w14:textId="77777777" w:rsidR="00360BA5" w:rsidRPr="004B0DA6" w:rsidRDefault="00360BA5" w:rsidP="00203597">
      <w:pPr>
        <w:spacing w:after="0"/>
        <w:rPr>
          <w:rFonts w:ascii="Times New Roman" w:hAnsi="Times New Roman" w:cs="Times New Roman"/>
          <w:sz w:val="24"/>
        </w:rPr>
      </w:pPr>
    </w:p>
    <w:p w14:paraId="4996928B" w14:textId="77777777" w:rsidR="00360BA5" w:rsidRPr="004B0DA6" w:rsidRDefault="00360BA5" w:rsidP="00203597">
      <w:pPr>
        <w:spacing w:after="0"/>
        <w:rPr>
          <w:rFonts w:ascii="Times New Roman" w:hAnsi="Times New Roman" w:cs="Times New Roman"/>
          <w:sz w:val="24"/>
        </w:rPr>
      </w:pPr>
    </w:p>
    <w:p w14:paraId="52EDA6C7" w14:textId="77777777" w:rsidR="00360BA5" w:rsidRPr="004B0DA6" w:rsidRDefault="00360BA5" w:rsidP="00203597">
      <w:pPr>
        <w:spacing w:after="0"/>
        <w:rPr>
          <w:rFonts w:ascii="Times New Roman" w:hAnsi="Times New Roman" w:cs="Times New Roman"/>
          <w:sz w:val="24"/>
        </w:rPr>
      </w:pPr>
    </w:p>
    <w:p w14:paraId="3BF75CBA" w14:textId="77777777" w:rsidR="00360BA5" w:rsidRPr="004B0DA6" w:rsidRDefault="00360BA5" w:rsidP="00203597">
      <w:pPr>
        <w:spacing w:after="0"/>
        <w:rPr>
          <w:rFonts w:ascii="Times New Roman" w:hAnsi="Times New Roman" w:cs="Times New Roman"/>
          <w:sz w:val="24"/>
        </w:rPr>
      </w:pPr>
    </w:p>
    <w:p w14:paraId="5C759656" w14:textId="75022720" w:rsidR="00360BA5" w:rsidRPr="004B0DA6" w:rsidRDefault="00360BA5" w:rsidP="00360BA5">
      <w:pPr>
        <w:spacing w:after="0"/>
        <w:jc w:val="center"/>
        <w:rPr>
          <w:rFonts w:ascii="Times New Roman" w:hAnsi="Times New Roman" w:cs="Times New Roman"/>
          <w:sz w:val="24"/>
        </w:rPr>
      </w:pPr>
      <w:r w:rsidRPr="004B0DA6">
        <w:rPr>
          <w:rFonts w:ascii="Times New Roman" w:hAnsi="Times New Roman" w:cs="Times New Roman"/>
          <w:sz w:val="24"/>
        </w:rPr>
        <w:t xml:space="preserve">The remainder of this page left blank </w:t>
      </w:r>
      <w:r w:rsidR="0078372D" w:rsidRPr="004B0DA6">
        <w:rPr>
          <w:rFonts w:ascii="Times New Roman" w:hAnsi="Times New Roman" w:cs="Times New Roman"/>
          <w:sz w:val="24"/>
        </w:rPr>
        <w:t>intentionally.</w:t>
      </w:r>
    </w:p>
    <w:p w14:paraId="1893BA47" w14:textId="77777777" w:rsidR="00360BA5" w:rsidRPr="004B0DA6" w:rsidRDefault="00360BA5" w:rsidP="00203597">
      <w:pPr>
        <w:spacing w:after="0"/>
        <w:rPr>
          <w:rFonts w:ascii="Times New Roman" w:hAnsi="Times New Roman" w:cs="Times New Roman"/>
          <w:sz w:val="24"/>
        </w:rPr>
      </w:pPr>
    </w:p>
    <w:p w14:paraId="0BC7EDDF" w14:textId="77777777" w:rsidR="00360BA5" w:rsidRPr="004B0DA6" w:rsidRDefault="00360BA5" w:rsidP="00203597">
      <w:pPr>
        <w:spacing w:after="0"/>
        <w:rPr>
          <w:rFonts w:ascii="Times New Roman" w:hAnsi="Times New Roman" w:cs="Times New Roman"/>
          <w:sz w:val="24"/>
        </w:rPr>
      </w:pPr>
    </w:p>
    <w:p w14:paraId="00D6419F" w14:textId="77777777" w:rsidR="00360BA5" w:rsidRPr="004B0DA6" w:rsidRDefault="00360BA5" w:rsidP="00203597">
      <w:pPr>
        <w:spacing w:after="0"/>
        <w:rPr>
          <w:rFonts w:ascii="Times New Roman" w:hAnsi="Times New Roman" w:cs="Times New Roman"/>
          <w:sz w:val="24"/>
        </w:rPr>
      </w:pPr>
    </w:p>
    <w:p w14:paraId="3667A32F" w14:textId="77777777" w:rsidR="00360BA5" w:rsidRPr="004B0DA6" w:rsidRDefault="00360BA5" w:rsidP="00203597">
      <w:pPr>
        <w:spacing w:after="0"/>
        <w:rPr>
          <w:rFonts w:ascii="Times New Roman" w:hAnsi="Times New Roman" w:cs="Times New Roman"/>
          <w:sz w:val="24"/>
        </w:rPr>
      </w:pPr>
    </w:p>
    <w:p w14:paraId="392EFD43" w14:textId="77777777" w:rsidR="00360BA5" w:rsidRPr="004B0DA6" w:rsidRDefault="00360BA5" w:rsidP="00203597">
      <w:pPr>
        <w:spacing w:after="0"/>
        <w:rPr>
          <w:rFonts w:ascii="Times New Roman" w:hAnsi="Times New Roman" w:cs="Times New Roman"/>
          <w:sz w:val="24"/>
        </w:rPr>
      </w:pPr>
    </w:p>
    <w:p w14:paraId="330102D7" w14:textId="77777777" w:rsidR="00360BA5" w:rsidRPr="004B0DA6" w:rsidRDefault="00360BA5" w:rsidP="00203597">
      <w:pPr>
        <w:spacing w:after="0"/>
        <w:rPr>
          <w:rFonts w:ascii="Times New Roman" w:hAnsi="Times New Roman" w:cs="Times New Roman"/>
          <w:sz w:val="24"/>
        </w:rPr>
      </w:pPr>
    </w:p>
    <w:p w14:paraId="70DF912A" w14:textId="77777777" w:rsidR="00360BA5" w:rsidRPr="004B0DA6" w:rsidRDefault="00360BA5" w:rsidP="00203597">
      <w:pPr>
        <w:spacing w:after="0"/>
        <w:rPr>
          <w:rFonts w:ascii="Times New Roman" w:hAnsi="Times New Roman" w:cs="Times New Roman"/>
          <w:sz w:val="24"/>
        </w:rPr>
      </w:pPr>
    </w:p>
    <w:p w14:paraId="29490A84" w14:textId="77777777" w:rsidR="00360BA5" w:rsidRPr="004B0DA6" w:rsidRDefault="00360BA5" w:rsidP="00203597">
      <w:pPr>
        <w:spacing w:after="0"/>
        <w:rPr>
          <w:rFonts w:ascii="Times New Roman" w:hAnsi="Times New Roman" w:cs="Times New Roman"/>
          <w:sz w:val="24"/>
        </w:rPr>
      </w:pPr>
    </w:p>
    <w:p w14:paraId="1A30B9B9" w14:textId="77777777" w:rsidR="00360BA5" w:rsidRPr="004B0DA6" w:rsidRDefault="00360BA5" w:rsidP="00203597">
      <w:pPr>
        <w:spacing w:after="0"/>
        <w:rPr>
          <w:rFonts w:ascii="Times New Roman" w:hAnsi="Times New Roman" w:cs="Times New Roman"/>
          <w:sz w:val="24"/>
        </w:rPr>
      </w:pPr>
    </w:p>
    <w:p w14:paraId="0AF92E20" w14:textId="77777777" w:rsidR="00360BA5" w:rsidRPr="004B0DA6" w:rsidRDefault="00360BA5" w:rsidP="00203597">
      <w:pPr>
        <w:spacing w:after="0"/>
        <w:rPr>
          <w:rFonts w:ascii="Times New Roman" w:hAnsi="Times New Roman" w:cs="Times New Roman"/>
          <w:sz w:val="24"/>
        </w:rPr>
      </w:pPr>
    </w:p>
    <w:p w14:paraId="718A64F9" w14:textId="77777777" w:rsidR="00360BA5" w:rsidRPr="004B0DA6" w:rsidRDefault="00360BA5" w:rsidP="00203597">
      <w:pPr>
        <w:spacing w:after="0"/>
        <w:rPr>
          <w:rFonts w:ascii="Times New Roman" w:hAnsi="Times New Roman" w:cs="Times New Roman"/>
          <w:sz w:val="24"/>
        </w:rPr>
      </w:pPr>
    </w:p>
    <w:p w14:paraId="624DF331" w14:textId="77777777" w:rsidR="00360BA5" w:rsidRPr="004B0DA6" w:rsidRDefault="00360BA5" w:rsidP="00203597">
      <w:pPr>
        <w:spacing w:after="0"/>
        <w:rPr>
          <w:rFonts w:ascii="Times New Roman" w:hAnsi="Times New Roman" w:cs="Times New Roman"/>
          <w:sz w:val="24"/>
        </w:rPr>
      </w:pPr>
    </w:p>
    <w:p w14:paraId="7AAC4E1E" w14:textId="77777777" w:rsidR="00360BA5" w:rsidRPr="004B0DA6" w:rsidRDefault="00360BA5" w:rsidP="00203597">
      <w:pPr>
        <w:spacing w:after="0"/>
        <w:rPr>
          <w:rFonts w:ascii="Times New Roman" w:hAnsi="Times New Roman" w:cs="Times New Roman"/>
          <w:sz w:val="24"/>
        </w:rPr>
      </w:pPr>
    </w:p>
    <w:p w14:paraId="46507CAB" w14:textId="77777777" w:rsidR="00360BA5" w:rsidRPr="004B0DA6" w:rsidRDefault="00360BA5" w:rsidP="00203597">
      <w:pPr>
        <w:spacing w:after="0"/>
        <w:rPr>
          <w:rFonts w:ascii="Times New Roman" w:hAnsi="Times New Roman" w:cs="Times New Roman"/>
          <w:sz w:val="24"/>
        </w:rPr>
      </w:pPr>
    </w:p>
    <w:p w14:paraId="14F8AB78" w14:textId="1FBD9740" w:rsidR="0056179C" w:rsidRPr="004B0DA6" w:rsidRDefault="001F4EC6" w:rsidP="00203597">
      <w:pPr>
        <w:spacing w:after="0"/>
        <w:rPr>
          <w:rFonts w:ascii="Times New Roman" w:hAnsi="Times New Roman" w:cs="Times New Roman"/>
          <w:sz w:val="24"/>
        </w:rPr>
      </w:pPr>
      <w:r w:rsidRPr="004B0DA6">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15099A57" wp14:editId="5CA0CBF6">
                <wp:simplePos x="0" y="0"/>
                <wp:positionH relativeFrom="column">
                  <wp:posOffset>-120015</wp:posOffset>
                </wp:positionH>
                <wp:positionV relativeFrom="paragraph">
                  <wp:posOffset>334645</wp:posOffset>
                </wp:positionV>
                <wp:extent cx="6120765" cy="685800"/>
                <wp:effectExtent l="19050" t="19050" r="13335" b="19050"/>
                <wp:wrapNone/>
                <wp:docPr id="5628790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5800"/>
                        </a:xfrm>
                        <a:prstGeom prst="rect">
                          <a:avLst/>
                        </a:prstGeom>
                        <a:solidFill>
                          <a:srgbClr val="FFFFFF"/>
                        </a:solidFill>
                        <a:ln w="57150" cmpd="thinThick">
                          <a:solidFill>
                            <a:srgbClr val="000000"/>
                          </a:solidFill>
                          <a:miter lim="800000"/>
                          <a:headEnd/>
                          <a:tailEnd/>
                        </a:ln>
                      </wps:spPr>
                      <wps:txbx>
                        <w:txbxContent>
                          <w:p w14:paraId="09D97B66" w14:textId="77777777" w:rsidR="00D14921" w:rsidRPr="009E048B" w:rsidRDefault="00D14921" w:rsidP="0056179C">
                            <w:pPr>
                              <w:jc w:val="both"/>
                              <w:rPr>
                                <w:rFonts w:ascii="Times New Roman" w:hAnsi="Times New Roman" w:cs="Times New Roman"/>
                                <w:sz w:val="24"/>
                                <w:szCs w:val="24"/>
                              </w:rPr>
                            </w:pPr>
                            <w:r w:rsidRPr="009E048B">
                              <w:rPr>
                                <w:rFonts w:ascii="Times New Roman" w:hAnsi="Times New Roman" w:cs="Times New Roman"/>
                                <w:b/>
                                <w:sz w:val="24"/>
                                <w:szCs w:val="24"/>
                              </w:rPr>
                              <w:t>Note to preparer:</w:t>
                            </w:r>
                            <w:r w:rsidRPr="009E048B">
                              <w:rPr>
                                <w:rFonts w:ascii="Times New Roman" w:hAnsi="Times New Roman" w:cs="Times New Roman"/>
                                <w:sz w:val="24"/>
                                <w:szCs w:val="24"/>
                              </w:rPr>
                              <w:t xml:space="preserve"> See </w:t>
                            </w:r>
                            <w:r w:rsidRPr="009E048B">
                              <w:rPr>
                                <w:rFonts w:ascii="Times New Roman" w:hAnsi="Times New Roman" w:cs="Times New Roman"/>
                                <w:i/>
                                <w:sz w:val="24"/>
                                <w:szCs w:val="24"/>
                              </w:rPr>
                              <w:t>Note III.B.1</w:t>
                            </w:r>
                            <w:r w:rsidRPr="009E048B">
                              <w:rPr>
                                <w:rFonts w:ascii="Times New Roman" w:hAnsi="Times New Roman" w:cs="Times New Roman"/>
                                <w:sz w:val="24"/>
                                <w:szCs w:val="24"/>
                              </w:rPr>
                              <w:t xml:space="preserve"> </w:t>
                            </w:r>
                            <w:r w:rsidRPr="009E048B">
                              <w:rPr>
                                <w:rFonts w:ascii="Times New Roman" w:hAnsi="Times New Roman" w:cs="Times New Roman"/>
                                <w:i/>
                                <w:sz w:val="24"/>
                                <w:szCs w:val="24"/>
                              </w:rPr>
                              <w:t>– Payables</w:t>
                            </w:r>
                            <w:r w:rsidRPr="009E048B">
                              <w:rPr>
                                <w:rFonts w:ascii="Times New Roman" w:hAnsi="Times New Roman" w:cs="Times New Roman"/>
                                <w:sz w:val="24"/>
                                <w:szCs w:val="24"/>
                              </w:rPr>
                              <w:t xml:space="preserve"> in Carolina County for an example of the detailed note required for units that choose not to disaggregate accounts payable on the face of their 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99A57" id="Text Box 1" o:spid="_x0000_s1064" type="#_x0000_t202" style="position:absolute;margin-left:-9.45pt;margin-top:26.35pt;width:481.95pt;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ftKQIAAEUEAAAOAAAAZHJzL2Uyb0RvYy54bWysU11v2yAUfZ+0/4B4X2xncZpZcaouXaZJ&#10;3YfU7gdgjG1UzGVAYme/fhecplG3vUzjAXG5cLjn3MP6euwVOQjrJOiSZrOUEqE51FK3Jf3+sHuz&#10;osR5pmumQIuSHoWj15vXr9aDKcQcOlC1sARBtCsGU9LOe1MkieOd6JmbgREakw3YnnkMbZvUlg2I&#10;3qtknqbLZABbGwtcOIe7t1OSbiJ+0wjuvzaNE56okmJtPs42zlWYk82aFa1lppP8VAb7hyp6JjU+&#10;eoa6ZZ6RvZW/QfWSW3DQ+BmHPoGmkVxEDsgmS1+wue+YEZELiuPMWSb3/2D5l8O9+WaJH9/DiA2M&#10;JJy5A/7oiIZtx3QrbqyFoROsxoezIFkyGFecrgapXeECSDV8hhqbzPYeItDY2D6ogjwJomMDjmfR&#10;xegJx81lNk+vljklHHPLVb5KY1cSVjzdNtb5jwJ6EhYltdjUiM4Od86HaljxdCQ85kDJeieVioFt&#10;q62y5MDQALs4IoEXx5QmQ0nzqyzHGnlv6pL6TuoHdMXjJMlfQdM4/gTaS4/eVrIvKZLCMbktCPlB&#10;19F5nkk1rZGE0idlg5iTrH6sRiKxmrd5uByUrqA+otYWJi/j38NFB/YnJQP6uKTux55ZQYn6pLFf&#10;77LFIhg/Bov8ao6BvcxUlxmmOUIheUqm5dZPn2VvrGw7fGlyiIYb7HEjo/zPVZ3qR6/Grpz+VfgM&#10;l3E89fz7N78AAAD//wMAUEsDBBQABgAIAAAAIQBfDSOC3QAAAAoBAAAPAAAAZHJzL2Rvd25yZXYu&#10;eG1sTI/BTsMwEETvSPyDtUjcWqdV0yYhTlUhwRGJlgNHJ15iq/E6it02/D3LCY6rfZp5U+9nP4gr&#10;TtEFUrBaZiCQumAc9Qo+Ti+LAkRMmoweAqGCb4ywb+7val2ZcKN3vB5TLziEYqUV2JTGSsrYWfQ6&#10;LsOIxL+vMHmd+Jx6aSZ943A/yHWWbaXXjrjB6hGfLXbn48UrOB+6E+YyFaV1b5v28zXS7KJSjw/z&#10;4QlEwjn9wfCrz+rQsFMbLmSiGBQsVkXJqIJ8vQPBQLnJeVzL5DbbgWxq+X9C8wMAAP//AwBQSwEC&#10;LQAUAAYACAAAACEAtoM4kv4AAADhAQAAEwAAAAAAAAAAAAAAAAAAAAAAW0NvbnRlbnRfVHlwZXNd&#10;LnhtbFBLAQItABQABgAIAAAAIQA4/SH/1gAAAJQBAAALAAAAAAAAAAAAAAAAAC8BAABfcmVscy8u&#10;cmVsc1BLAQItABQABgAIAAAAIQAMQKftKQIAAEUEAAAOAAAAAAAAAAAAAAAAAC4CAABkcnMvZTJv&#10;RG9jLnhtbFBLAQItABQABgAIAAAAIQBfDSOC3QAAAAoBAAAPAAAAAAAAAAAAAAAAAIMEAABkcnMv&#10;ZG93bnJldi54bWxQSwUGAAAAAAQABADzAAAAjQUAAAAA&#10;" strokeweight="4.5pt">
                <v:stroke linestyle="thinThick"/>
                <v:textbox>
                  <w:txbxContent>
                    <w:p w14:paraId="09D97B66" w14:textId="77777777" w:rsidR="00D14921" w:rsidRPr="009E048B" w:rsidRDefault="00D14921" w:rsidP="0056179C">
                      <w:pPr>
                        <w:jc w:val="both"/>
                        <w:rPr>
                          <w:rFonts w:ascii="Times New Roman" w:hAnsi="Times New Roman" w:cs="Times New Roman"/>
                          <w:sz w:val="24"/>
                          <w:szCs w:val="24"/>
                        </w:rPr>
                      </w:pPr>
                      <w:r w:rsidRPr="009E048B">
                        <w:rPr>
                          <w:rFonts w:ascii="Times New Roman" w:hAnsi="Times New Roman" w:cs="Times New Roman"/>
                          <w:b/>
                          <w:sz w:val="24"/>
                          <w:szCs w:val="24"/>
                        </w:rPr>
                        <w:t>Note to preparer:</w:t>
                      </w:r>
                      <w:r w:rsidRPr="009E048B">
                        <w:rPr>
                          <w:rFonts w:ascii="Times New Roman" w:hAnsi="Times New Roman" w:cs="Times New Roman"/>
                          <w:sz w:val="24"/>
                          <w:szCs w:val="24"/>
                        </w:rPr>
                        <w:t xml:space="preserve"> See </w:t>
                      </w:r>
                      <w:r w:rsidRPr="009E048B">
                        <w:rPr>
                          <w:rFonts w:ascii="Times New Roman" w:hAnsi="Times New Roman" w:cs="Times New Roman"/>
                          <w:i/>
                          <w:sz w:val="24"/>
                          <w:szCs w:val="24"/>
                        </w:rPr>
                        <w:t>Note III.B.1</w:t>
                      </w:r>
                      <w:r w:rsidRPr="009E048B">
                        <w:rPr>
                          <w:rFonts w:ascii="Times New Roman" w:hAnsi="Times New Roman" w:cs="Times New Roman"/>
                          <w:sz w:val="24"/>
                          <w:szCs w:val="24"/>
                        </w:rPr>
                        <w:t xml:space="preserve"> </w:t>
                      </w:r>
                      <w:r w:rsidRPr="009E048B">
                        <w:rPr>
                          <w:rFonts w:ascii="Times New Roman" w:hAnsi="Times New Roman" w:cs="Times New Roman"/>
                          <w:i/>
                          <w:sz w:val="24"/>
                          <w:szCs w:val="24"/>
                        </w:rPr>
                        <w:t>– Payables</w:t>
                      </w:r>
                      <w:r w:rsidRPr="009E048B">
                        <w:rPr>
                          <w:rFonts w:ascii="Times New Roman" w:hAnsi="Times New Roman" w:cs="Times New Roman"/>
                          <w:sz w:val="24"/>
                          <w:szCs w:val="24"/>
                        </w:rPr>
                        <w:t xml:space="preserve"> in Carolina County for an example of the detailed note required for units that choose not to disaggregate accounts payable on the face of their financial statements.</w:t>
                      </w:r>
                    </w:p>
                  </w:txbxContent>
                </v:textbox>
              </v:shape>
            </w:pict>
          </mc:Fallback>
        </mc:AlternateContent>
      </w:r>
      <w:r w:rsidR="0056179C" w:rsidRPr="004B0DA6">
        <w:rPr>
          <w:rFonts w:ascii="Times New Roman" w:hAnsi="Times New Roman" w:cs="Times New Roman"/>
          <w:sz w:val="24"/>
        </w:rPr>
        <w:t xml:space="preserve">B. </w:t>
      </w:r>
      <w:r w:rsidR="0056179C" w:rsidRPr="004B0DA6">
        <w:rPr>
          <w:rFonts w:ascii="Times New Roman" w:hAnsi="Times New Roman" w:cs="Times New Roman"/>
          <w:sz w:val="24"/>
          <w:u w:val="single"/>
        </w:rPr>
        <w:t>Liabilities</w:t>
      </w:r>
    </w:p>
    <w:p w14:paraId="3D0BFCAE" w14:textId="52623432" w:rsidR="0056179C" w:rsidRPr="004B0DA6" w:rsidRDefault="0056179C" w:rsidP="00203597">
      <w:pPr>
        <w:spacing w:after="0"/>
        <w:rPr>
          <w:rFonts w:ascii="Times New Roman" w:hAnsi="Times New Roman" w:cs="Times New Roman"/>
          <w:sz w:val="24"/>
          <w:u w:val="single"/>
        </w:rPr>
      </w:pPr>
    </w:p>
    <w:p w14:paraId="0FE9777B" w14:textId="77777777" w:rsidR="0056179C" w:rsidRPr="004B0DA6" w:rsidRDefault="0056179C" w:rsidP="00203597">
      <w:pPr>
        <w:spacing w:after="0"/>
        <w:rPr>
          <w:rFonts w:ascii="Times New Roman" w:hAnsi="Times New Roman" w:cs="Times New Roman"/>
          <w:sz w:val="24"/>
        </w:rPr>
      </w:pPr>
    </w:p>
    <w:p w14:paraId="43D4E283" w14:textId="77777777" w:rsidR="00924152" w:rsidRPr="004B0DA6" w:rsidRDefault="00924152" w:rsidP="00203597">
      <w:pPr>
        <w:spacing w:after="0"/>
        <w:rPr>
          <w:rFonts w:ascii="Times New Roman" w:hAnsi="Times New Roman" w:cs="Times New Roman"/>
          <w:sz w:val="24"/>
          <w:szCs w:val="24"/>
        </w:rPr>
      </w:pPr>
    </w:p>
    <w:p w14:paraId="0A995C1D" w14:textId="50988BB8" w:rsidR="0056179C" w:rsidRPr="004B0DA6" w:rsidRDefault="0056179C" w:rsidP="00203597">
      <w:pPr>
        <w:pStyle w:val="ListParagraph"/>
        <w:numPr>
          <w:ilvl w:val="0"/>
          <w:numId w:val="26"/>
        </w:numPr>
        <w:rPr>
          <w:u w:val="single"/>
        </w:rPr>
      </w:pPr>
      <w:r w:rsidRPr="004B0DA6">
        <w:rPr>
          <w:u w:val="single"/>
        </w:rPr>
        <w:t>Pension Plan and Postemployment Obligations</w:t>
      </w:r>
    </w:p>
    <w:p w14:paraId="6C44F5E9" w14:textId="010A19A1" w:rsidR="00360BA5" w:rsidRPr="004B0DA6" w:rsidRDefault="00AE68BF" w:rsidP="00360BA5">
      <w:pPr>
        <w:pStyle w:val="ListParagraph"/>
        <w:rPr>
          <w:b/>
        </w:rPr>
      </w:pPr>
      <w:r w:rsidRPr="004B0DA6">
        <w:rPr>
          <w:noProof/>
        </w:rPr>
        <mc:AlternateContent>
          <mc:Choice Requires="wpg">
            <w:drawing>
              <wp:anchor distT="0" distB="0" distL="114300" distR="114300" simplePos="0" relativeHeight="251699200" behindDoc="1" locked="0" layoutInCell="1" allowOverlap="1" wp14:anchorId="73A98A7A" wp14:editId="7B85EDD5">
                <wp:simplePos x="0" y="0"/>
                <wp:positionH relativeFrom="margin">
                  <wp:align>center</wp:align>
                </wp:positionH>
                <wp:positionV relativeFrom="paragraph">
                  <wp:posOffset>147320</wp:posOffset>
                </wp:positionV>
                <wp:extent cx="6162675" cy="2901315"/>
                <wp:effectExtent l="0" t="0" r="9525" b="0"/>
                <wp:wrapNone/>
                <wp:docPr id="1475447352" name="Group 1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2675" cy="2901315"/>
                          <a:chOff x="1242" y="-114"/>
                          <a:chExt cx="9756" cy="6918"/>
                        </a:xfrm>
                      </wpg:grpSpPr>
                      <wps:wsp>
                        <wps:cNvPr id="34430499" name="AutoShape 1197"/>
                        <wps:cNvSpPr>
                          <a:spLocks/>
                        </wps:cNvSpPr>
                        <wps:spPr bwMode="auto">
                          <a:xfrm>
                            <a:off x="1242" y="-114"/>
                            <a:ext cx="9756" cy="5801"/>
                          </a:xfrm>
                          <a:custGeom>
                            <a:avLst/>
                            <a:gdLst>
                              <a:gd name="T0" fmla="*/ 74 w 9756"/>
                              <a:gd name="T1" fmla="*/ 5294 h 5494"/>
                              <a:gd name="T2" fmla="*/ 89 w 9756"/>
                              <a:gd name="T3" fmla="*/ 5294 h 5494"/>
                              <a:gd name="T4" fmla="*/ 74 w 9756"/>
                              <a:gd name="T5" fmla="*/ 4583 h 5494"/>
                              <a:gd name="T6" fmla="*/ 89 w 9756"/>
                              <a:gd name="T7" fmla="*/ 4584 h 5494"/>
                              <a:gd name="T8" fmla="*/ 74 w 9756"/>
                              <a:gd name="T9" fmla="*/ 3517 h 5494"/>
                              <a:gd name="T10" fmla="*/ 89 w 9756"/>
                              <a:gd name="T11" fmla="*/ 4229 h 5494"/>
                              <a:gd name="T12" fmla="*/ 89 w 9756"/>
                              <a:gd name="T13" fmla="*/ 2807 h 5494"/>
                              <a:gd name="T14" fmla="*/ 74 w 9756"/>
                              <a:gd name="T15" fmla="*/ 3517 h 5494"/>
                              <a:gd name="T16" fmla="*/ 89 w 9756"/>
                              <a:gd name="T17" fmla="*/ 2807 h 5494"/>
                              <a:gd name="T18" fmla="*/ 74 w 9756"/>
                              <a:gd name="T19" fmla="*/ 2451 h 5494"/>
                              <a:gd name="T20" fmla="*/ 89 w 9756"/>
                              <a:gd name="T21" fmla="*/ 2451 h 5494"/>
                              <a:gd name="T22" fmla="*/ 74 w 9756"/>
                              <a:gd name="T23" fmla="*/ 1740 h 5494"/>
                              <a:gd name="T24" fmla="*/ 89 w 9756"/>
                              <a:gd name="T25" fmla="*/ 1385 h 5494"/>
                              <a:gd name="T26" fmla="*/ 74 w 9756"/>
                              <a:gd name="T27" fmla="*/ 673 h 5494"/>
                              <a:gd name="T28" fmla="*/ 89 w 9756"/>
                              <a:gd name="T29" fmla="*/ 1385 h 5494"/>
                              <a:gd name="T30" fmla="*/ 89 w 9756"/>
                              <a:gd name="T31" fmla="*/ 298 h 5494"/>
                              <a:gd name="T32" fmla="*/ 9667 w 9756"/>
                              <a:gd name="T33" fmla="*/ 5294 h 5494"/>
                              <a:gd name="T34" fmla="*/ 9682 w 9756"/>
                              <a:gd name="T35" fmla="*/ 5294 h 5494"/>
                              <a:gd name="T36" fmla="*/ 9667 w 9756"/>
                              <a:gd name="T37" fmla="*/ 4229 h 5494"/>
                              <a:gd name="T38" fmla="*/ 9682 w 9756"/>
                              <a:gd name="T39" fmla="*/ 4939 h 5494"/>
                              <a:gd name="T40" fmla="*/ 9682 w 9756"/>
                              <a:gd name="T41" fmla="*/ 3517 h 5494"/>
                              <a:gd name="T42" fmla="*/ 9667 w 9756"/>
                              <a:gd name="T43" fmla="*/ 4229 h 5494"/>
                              <a:gd name="T44" fmla="*/ 9682 w 9756"/>
                              <a:gd name="T45" fmla="*/ 3517 h 5494"/>
                              <a:gd name="T46" fmla="*/ 9667 w 9756"/>
                              <a:gd name="T47" fmla="*/ 3161 h 5494"/>
                              <a:gd name="T48" fmla="*/ 9682 w 9756"/>
                              <a:gd name="T49" fmla="*/ 3161 h 5494"/>
                              <a:gd name="T50" fmla="*/ 9667 w 9756"/>
                              <a:gd name="T51" fmla="*/ 2451 h 5494"/>
                              <a:gd name="T52" fmla="*/ 9682 w 9756"/>
                              <a:gd name="T53" fmla="*/ 2451 h 5494"/>
                              <a:gd name="T54" fmla="*/ 9667 w 9756"/>
                              <a:gd name="T55" fmla="*/ 1385 h 5494"/>
                              <a:gd name="T56" fmla="*/ 9682 w 9756"/>
                              <a:gd name="T57" fmla="*/ 1740 h 5494"/>
                              <a:gd name="T58" fmla="*/ 9667 w 9756"/>
                              <a:gd name="T59" fmla="*/ 283 h 5494"/>
                              <a:gd name="T60" fmla="*/ 9667 w 9756"/>
                              <a:gd name="T61" fmla="*/ 673 h 5494"/>
                              <a:gd name="T62" fmla="*/ 9682 w 9756"/>
                              <a:gd name="T63" fmla="*/ 1385 h 5494"/>
                              <a:gd name="T64" fmla="*/ 9682 w 9756"/>
                              <a:gd name="T65" fmla="*/ 298 h 5494"/>
                              <a:gd name="T66" fmla="*/ 9696 w 9756"/>
                              <a:gd name="T67" fmla="*/ 204 h 5494"/>
                              <a:gd name="T68" fmla="*/ 60 w 9756"/>
                              <a:gd name="T69" fmla="*/ 204 h 5494"/>
                              <a:gd name="T70" fmla="*/ 0 w 9756"/>
                              <a:gd name="T71" fmla="*/ 298 h 5494"/>
                              <a:gd name="T72" fmla="*/ 0 w 9756"/>
                              <a:gd name="T73" fmla="*/ 1740 h 5494"/>
                              <a:gd name="T74" fmla="*/ 0 w 9756"/>
                              <a:gd name="T75" fmla="*/ 3161 h 5494"/>
                              <a:gd name="T76" fmla="*/ 0 w 9756"/>
                              <a:gd name="T77" fmla="*/ 4584 h 5494"/>
                              <a:gd name="T78" fmla="*/ 0 w 9756"/>
                              <a:gd name="T79" fmla="*/ 6005 h 5494"/>
                              <a:gd name="T80" fmla="*/ 60 w 9756"/>
                              <a:gd name="T81" fmla="*/ 4939 h 5494"/>
                              <a:gd name="T82" fmla="*/ 60 w 9756"/>
                              <a:gd name="T83" fmla="*/ 3517 h 5494"/>
                              <a:gd name="T84" fmla="*/ 60 w 9756"/>
                              <a:gd name="T85" fmla="*/ 2096 h 5494"/>
                              <a:gd name="T86" fmla="*/ 60 w 9756"/>
                              <a:gd name="T87" fmla="*/ 673 h 5494"/>
                              <a:gd name="T88" fmla="*/ 9667 w 9756"/>
                              <a:gd name="T89" fmla="*/ 267 h 5494"/>
                              <a:gd name="T90" fmla="*/ 9696 w 9756"/>
                              <a:gd name="T91" fmla="*/ 1029 h 5494"/>
                              <a:gd name="T92" fmla="*/ 9696 w 9756"/>
                              <a:gd name="T93" fmla="*/ 2451 h 5494"/>
                              <a:gd name="T94" fmla="*/ 9696 w 9756"/>
                              <a:gd name="T95" fmla="*/ 3872 h 5494"/>
                              <a:gd name="T96" fmla="*/ 9696 w 9756"/>
                              <a:gd name="T97" fmla="*/ 5294 h 5494"/>
                              <a:gd name="T98" fmla="*/ 9756 w 9756"/>
                              <a:gd name="T99" fmla="*/ 4939 h 5494"/>
                              <a:gd name="T100" fmla="*/ 9756 w 9756"/>
                              <a:gd name="T101" fmla="*/ 3517 h 5494"/>
                              <a:gd name="T102" fmla="*/ 9756 w 9756"/>
                              <a:gd name="T103" fmla="*/ 2096 h 5494"/>
                              <a:gd name="T104" fmla="*/ 9756 w 9756"/>
                              <a:gd name="T105" fmla="*/ 673 h 5494"/>
                              <a:gd name="T106" fmla="*/ 9756 w 9756"/>
                              <a:gd name="T107" fmla="*/ 204 h 549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9756" h="5494">
                                <a:moveTo>
                                  <a:pt x="89" y="4485"/>
                                </a:moveTo>
                                <a:lnTo>
                                  <a:pt x="74" y="4485"/>
                                </a:lnTo>
                                <a:lnTo>
                                  <a:pt x="74" y="4821"/>
                                </a:lnTo>
                                <a:lnTo>
                                  <a:pt x="74" y="5158"/>
                                </a:lnTo>
                                <a:lnTo>
                                  <a:pt x="89" y="5158"/>
                                </a:lnTo>
                                <a:lnTo>
                                  <a:pt x="89" y="4821"/>
                                </a:lnTo>
                                <a:lnTo>
                                  <a:pt x="89" y="4485"/>
                                </a:lnTo>
                                <a:close/>
                                <a:moveTo>
                                  <a:pt x="89" y="3812"/>
                                </a:moveTo>
                                <a:lnTo>
                                  <a:pt x="74" y="3812"/>
                                </a:lnTo>
                                <a:lnTo>
                                  <a:pt x="74" y="4147"/>
                                </a:lnTo>
                                <a:lnTo>
                                  <a:pt x="74" y="4148"/>
                                </a:lnTo>
                                <a:lnTo>
                                  <a:pt x="74" y="4485"/>
                                </a:lnTo>
                                <a:lnTo>
                                  <a:pt x="89" y="4485"/>
                                </a:lnTo>
                                <a:lnTo>
                                  <a:pt x="89" y="4148"/>
                                </a:lnTo>
                                <a:lnTo>
                                  <a:pt x="89" y="4147"/>
                                </a:lnTo>
                                <a:lnTo>
                                  <a:pt x="89" y="3812"/>
                                </a:lnTo>
                                <a:close/>
                                <a:moveTo>
                                  <a:pt x="89" y="3138"/>
                                </a:moveTo>
                                <a:lnTo>
                                  <a:pt x="74" y="3138"/>
                                </a:lnTo>
                                <a:lnTo>
                                  <a:pt x="74" y="3474"/>
                                </a:lnTo>
                                <a:lnTo>
                                  <a:pt x="74" y="3812"/>
                                </a:lnTo>
                                <a:lnTo>
                                  <a:pt x="89" y="3812"/>
                                </a:lnTo>
                                <a:lnTo>
                                  <a:pt x="89" y="3474"/>
                                </a:lnTo>
                                <a:lnTo>
                                  <a:pt x="89" y="3138"/>
                                </a:lnTo>
                                <a:close/>
                                <a:moveTo>
                                  <a:pt x="89" y="2465"/>
                                </a:moveTo>
                                <a:lnTo>
                                  <a:pt x="74" y="2465"/>
                                </a:lnTo>
                                <a:lnTo>
                                  <a:pt x="74" y="2801"/>
                                </a:lnTo>
                                <a:lnTo>
                                  <a:pt x="74" y="3138"/>
                                </a:lnTo>
                                <a:lnTo>
                                  <a:pt x="89" y="3138"/>
                                </a:lnTo>
                                <a:lnTo>
                                  <a:pt x="89" y="2801"/>
                                </a:lnTo>
                                <a:lnTo>
                                  <a:pt x="89" y="2465"/>
                                </a:lnTo>
                                <a:close/>
                                <a:moveTo>
                                  <a:pt x="89" y="1792"/>
                                </a:moveTo>
                                <a:lnTo>
                                  <a:pt x="74" y="1792"/>
                                </a:lnTo>
                                <a:lnTo>
                                  <a:pt x="74" y="2128"/>
                                </a:lnTo>
                                <a:lnTo>
                                  <a:pt x="74" y="2465"/>
                                </a:lnTo>
                                <a:lnTo>
                                  <a:pt x="89" y="2465"/>
                                </a:lnTo>
                                <a:lnTo>
                                  <a:pt x="89" y="2128"/>
                                </a:lnTo>
                                <a:lnTo>
                                  <a:pt x="89" y="1792"/>
                                </a:lnTo>
                                <a:close/>
                                <a:moveTo>
                                  <a:pt x="89" y="1119"/>
                                </a:moveTo>
                                <a:lnTo>
                                  <a:pt x="74" y="1119"/>
                                </a:lnTo>
                                <a:lnTo>
                                  <a:pt x="74" y="1455"/>
                                </a:lnTo>
                                <a:lnTo>
                                  <a:pt x="74" y="1792"/>
                                </a:lnTo>
                                <a:lnTo>
                                  <a:pt x="89" y="1792"/>
                                </a:lnTo>
                                <a:lnTo>
                                  <a:pt x="89" y="1455"/>
                                </a:lnTo>
                                <a:lnTo>
                                  <a:pt x="89" y="1119"/>
                                </a:lnTo>
                                <a:close/>
                                <a:moveTo>
                                  <a:pt x="89" y="75"/>
                                </a:moveTo>
                                <a:lnTo>
                                  <a:pt x="74" y="75"/>
                                </a:lnTo>
                                <a:lnTo>
                                  <a:pt x="74" y="89"/>
                                </a:lnTo>
                                <a:lnTo>
                                  <a:pt x="74" y="444"/>
                                </a:lnTo>
                                <a:lnTo>
                                  <a:pt x="74" y="781"/>
                                </a:lnTo>
                                <a:lnTo>
                                  <a:pt x="74" y="782"/>
                                </a:lnTo>
                                <a:lnTo>
                                  <a:pt x="74" y="1119"/>
                                </a:lnTo>
                                <a:lnTo>
                                  <a:pt x="89" y="1119"/>
                                </a:lnTo>
                                <a:lnTo>
                                  <a:pt x="89" y="782"/>
                                </a:lnTo>
                                <a:lnTo>
                                  <a:pt x="89" y="781"/>
                                </a:lnTo>
                                <a:lnTo>
                                  <a:pt x="89" y="444"/>
                                </a:lnTo>
                                <a:lnTo>
                                  <a:pt x="89" y="89"/>
                                </a:lnTo>
                                <a:lnTo>
                                  <a:pt x="89" y="75"/>
                                </a:lnTo>
                                <a:close/>
                                <a:moveTo>
                                  <a:pt x="9682" y="4485"/>
                                </a:moveTo>
                                <a:lnTo>
                                  <a:pt x="9667" y="4485"/>
                                </a:lnTo>
                                <a:lnTo>
                                  <a:pt x="9667" y="4821"/>
                                </a:lnTo>
                                <a:lnTo>
                                  <a:pt x="9667" y="5158"/>
                                </a:lnTo>
                                <a:lnTo>
                                  <a:pt x="9682" y="5158"/>
                                </a:lnTo>
                                <a:lnTo>
                                  <a:pt x="9682" y="4821"/>
                                </a:lnTo>
                                <a:lnTo>
                                  <a:pt x="9682" y="4485"/>
                                </a:lnTo>
                                <a:close/>
                                <a:moveTo>
                                  <a:pt x="9682" y="3812"/>
                                </a:moveTo>
                                <a:lnTo>
                                  <a:pt x="9667" y="3812"/>
                                </a:lnTo>
                                <a:lnTo>
                                  <a:pt x="9667" y="4147"/>
                                </a:lnTo>
                                <a:lnTo>
                                  <a:pt x="9667" y="4148"/>
                                </a:lnTo>
                                <a:lnTo>
                                  <a:pt x="9667" y="4485"/>
                                </a:lnTo>
                                <a:lnTo>
                                  <a:pt x="9682" y="4485"/>
                                </a:lnTo>
                                <a:lnTo>
                                  <a:pt x="9682" y="4148"/>
                                </a:lnTo>
                                <a:lnTo>
                                  <a:pt x="9682" y="4147"/>
                                </a:lnTo>
                                <a:lnTo>
                                  <a:pt x="9682" y="3812"/>
                                </a:lnTo>
                                <a:close/>
                                <a:moveTo>
                                  <a:pt x="9682" y="3138"/>
                                </a:moveTo>
                                <a:lnTo>
                                  <a:pt x="9667" y="3138"/>
                                </a:lnTo>
                                <a:lnTo>
                                  <a:pt x="9667" y="3474"/>
                                </a:lnTo>
                                <a:lnTo>
                                  <a:pt x="9667" y="3812"/>
                                </a:lnTo>
                                <a:lnTo>
                                  <a:pt x="9682" y="3812"/>
                                </a:lnTo>
                                <a:lnTo>
                                  <a:pt x="9682" y="3474"/>
                                </a:lnTo>
                                <a:lnTo>
                                  <a:pt x="9682" y="3138"/>
                                </a:lnTo>
                                <a:close/>
                                <a:moveTo>
                                  <a:pt x="9682" y="2465"/>
                                </a:moveTo>
                                <a:lnTo>
                                  <a:pt x="9667" y="2465"/>
                                </a:lnTo>
                                <a:lnTo>
                                  <a:pt x="9667" y="2801"/>
                                </a:lnTo>
                                <a:lnTo>
                                  <a:pt x="9667" y="3138"/>
                                </a:lnTo>
                                <a:lnTo>
                                  <a:pt x="9682" y="3138"/>
                                </a:lnTo>
                                <a:lnTo>
                                  <a:pt x="9682" y="2801"/>
                                </a:lnTo>
                                <a:lnTo>
                                  <a:pt x="9682" y="2465"/>
                                </a:lnTo>
                                <a:close/>
                                <a:moveTo>
                                  <a:pt x="9682" y="1792"/>
                                </a:moveTo>
                                <a:lnTo>
                                  <a:pt x="9667" y="1792"/>
                                </a:lnTo>
                                <a:lnTo>
                                  <a:pt x="9667" y="2128"/>
                                </a:lnTo>
                                <a:lnTo>
                                  <a:pt x="9667" y="2465"/>
                                </a:lnTo>
                                <a:lnTo>
                                  <a:pt x="9682" y="2465"/>
                                </a:lnTo>
                                <a:lnTo>
                                  <a:pt x="9682" y="2128"/>
                                </a:lnTo>
                                <a:lnTo>
                                  <a:pt x="9682" y="1792"/>
                                </a:lnTo>
                                <a:close/>
                                <a:moveTo>
                                  <a:pt x="9682" y="1119"/>
                                </a:moveTo>
                                <a:lnTo>
                                  <a:pt x="9667" y="1119"/>
                                </a:lnTo>
                                <a:lnTo>
                                  <a:pt x="9667" y="1455"/>
                                </a:lnTo>
                                <a:lnTo>
                                  <a:pt x="9667" y="1792"/>
                                </a:lnTo>
                                <a:lnTo>
                                  <a:pt x="9682" y="1792"/>
                                </a:lnTo>
                                <a:lnTo>
                                  <a:pt x="9682" y="1455"/>
                                </a:lnTo>
                                <a:lnTo>
                                  <a:pt x="9682" y="1119"/>
                                </a:lnTo>
                                <a:close/>
                                <a:moveTo>
                                  <a:pt x="9682" y="75"/>
                                </a:moveTo>
                                <a:lnTo>
                                  <a:pt x="9667" y="75"/>
                                </a:lnTo>
                                <a:lnTo>
                                  <a:pt x="89" y="75"/>
                                </a:lnTo>
                                <a:lnTo>
                                  <a:pt x="89" y="89"/>
                                </a:lnTo>
                                <a:lnTo>
                                  <a:pt x="9667" y="89"/>
                                </a:lnTo>
                                <a:lnTo>
                                  <a:pt x="9667" y="444"/>
                                </a:lnTo>
                                <a:lnTo>
                                  <a:pt x="9667" y="781"/>
                                </a:lnTo>
                                <a:lnTo>
                                  <a:pt x="9667" y="782"/>
                                </a:lnTo>
                                <a:lnTo>
                                  <a:pt x="9667" y="1119"/>
                                </a:lnTo>
                                <a:lnTo>
                                  <a:pt x="9682" y="1119"/>
                                </a:lnTo>
                                <a:lnTo>
                                  <a:pt x="9682" y="782"/>
                                </a:lnTo>
                                <a:lnTo>
                                  <a:pt x="9682" y="781"/>
                                </a:lnTo>
                                <a:lnTo>
                                  <a:pt x="9682" y="444"/>
                                </a:lnTo>
                                <a:lnTo>
                                  <a:pt x="9682" y="89"/>
                                </a:lnTo>
                                <a:lnTo>
                                  <a:pt x="9682" y="75"/>
                                </a:lnTo>
                                <a:close/>
                                <a:moveTo>
                                  <a:pt x="9756" y="0"/>
                                </a:moveTo>
                                <a:lnTo>
                                  <a:pt x="9696" y="0"/>
                                </a:lnTo>
                                <a:lnTo>
                                  <a:pt x="9667" y="0"/>
                                </a:lnTo>
                                <a:lnTo>
                                  <a:pt x="89" y="0"/>
                                </a:lnTo>
                                <a:lnTo>
                                  <a:pt x="60" y="0"/>
                                </a:lnTo>
                                <a:lnTo>
                                  <a:pt x="0" y="0"/>
                                </a:lnTo>
                                <a:lnTo>
                                  <a:pt x="0" y="60"/>
                                </a:lnTo>
                                <a:lnTo>
                                  <a:pt x="0" y="89"/>
                                </a:lnTo>
                                <a:lnTo>
                                  <a:pt x="0" y="444"/>
                                </a:lnTo>
                                <a:lnTo>
                                  <a:pt x="0" y="782"/>
                                </a:lnTo>
                                <a:lnTo>
                                  <a:pt x="0" y="1119"/>
                                </a:lnTo>
                                <a:lnTo>
                                  <a:pt x="0" y="1455"/>
                                </a:lnTo>
                                <a:lnTo>
                                  <a:pt x="0" y="1792"/>
                                </a:lnTo>
                                <a:lnTo>
                                  <a:pt x="0" y="2128"/>
                                </a:lnTo>
                                <a:lnTo>
                                  <a:pt x="0" y="2465"/>
                                </a:lnTo>
                                <a:lnTo>
                                  <a:pt x="0" y="2801"/>
                                </a:lnTo>
                                <a:lnTo>
                                  <a:pt x="0" y="3138"/>
                                </a:lnTo>
                                <a:lnTo>
                                  <a:pt x="0" y="3474"/>
                                </a:lnTo>
                                <a:lnTo>
                                  <a:pt x="0" y="3812"/>
                                </a:lnTo>
                                <a:lnTo>
                                  <a:pt x="0" y="4148"/>
                                </a:lnTo>
                                <a:lnTo>
                                  <a:pt x="0" y="4485"/>
                                </a:lnTo>
                                <a:lnTo>
                                  <a:pt x="0" y="4821"/>
                                </a:lnTo>
                                <a:lnTo>
                                  <a:pt x="0" y="5158"/>
                                </a:lnTo>
                                <a:lnTo>
                                  <a:pt x="0" y="5494"/>
                                </a:lnTo>
                                <a:lnTo>
                                  <a:pt x="60" y="5494"/>
                                </a:lnTo>
                                <a:lnTo>
                                  <a:pt x="60" y="5158"/>
                                </a:lnTo>
                                <a:lnTo>
                                  <a:pt x="60" y="4821"/>
                                </a:lnTo>
                                <a:lnTo>
                                  <a:pt x="60" y="4485"/>
                                </a:lnTo>
                                <a:lnTo>
                                  <a:pt x="60" y="4148"/>
                                </a:lnTo>
                                <a:lnTo>
                                  <a:pt x="60" y="3812"/>
                                </a:lnTo>
                                <a:lnTo>
                                  <a:pt x="60" y="3474"/>
                                </a:lnTo>
                                <a:lnTo>
                                  <a:pt x="60" y="3138"/>
                                </a:lnTo>
                                <a:lnTo>
                                  <a:pt x="60" y="2801"/>
                                </a:lnTo>
                                <a:lnTo>
                                  <a:pt x="60" y="2465"/>
                                </a:lnTo>
                                <a:lnTo>
                                  <a:pt x="60" y="2128"/>
                                </a:lnTo>
                                <a:lnTo>
                                  <a:pt x="60" y="1792"/>
                                </a:lnTo>
                                <a:lnTo>
                                  <a:pt x="60" y="1455"/>
                                </a:lnTo>
                                <a:lnTo>
                                  <a:pt x="60" y="1119"/>
                                </a:lnTo>
                                <a:lnTo>
                                  <a:pt x="60" y="782"/>
                                </a:lnTo>
                                <a:lnTo>
                                  <a:pt x="60" y="444"/>
                                </a:lnTo>
                                <a:lnTo>
                                  <a:pt x="60" y="89"/>
                                </a:lnTo>
                                <a:lnTo>
                                  <a:pt x="60" y="60"/>
                                </a:lnTo>
                                <a:lnTo>
                                  <a:pt x="89" y="60"/>
                                </a:lnTo>
                                <a:lnTo>
                                  <a:pt x="9667" y="60"/>
                                </a:lnTo>
                                <a:lnTo>
                                  <a:pt x="9696" y="60"/>
                                </a:lnTo>
                                <a:lnTo>
                                  <a:pt x="9696" y="89"/>
                                </a:lnTo>
                                <a:lnTo>
                                  <a:pt x="9696" y="444"/>
                                </a:lnTo>
                                <a:lnTo>
                                  <a:pt x="9696" y="782"/>
                                </a:lnTo>
                                <a:lnTo>
                                  <a:pt x="9696" y="1119"/>
                                </a:lnTo>
                                <a:lnTo>
                                  <a:pt x="9696" y="1455"/>
                                </a:lnTo>
                                <a:lnTo>
                                  <a:pt x="9696" y="1792"/>
                                </a:lnTo>
                                <a:lnTo>
                                  <a:pt x="9696" y="2128"/>
                                </a:lnTo>
                                <a:lnTo>
                                  <a:pt x="9696" y="2465"/>
                                </a:lnTo>
                                <a:lnTo>
                                  <a:pt x="9696" y="2801"/>
                                </a:lnTo>
                                <a:lnTo>
                                  <a:pt x="9696" y="3138"/>
                                </a:lnTo>
                                <a:lnTo>
                                  <a:pt x="9696" y="3474"/>
                                </a:lnTo>
                                <a:lnTo>
                                  <a:pt x="9696" y="3812"/>
                                </a:lnTo>
                                <a:lnTo>
                                  <a:pt x="9696" y="4148"/>
                                </a:lnTo>
                                <a:lnTo>
                                  <a:pt x="9696" y="4485"/>
                                </a:lnTo>
                                <a:lnTo>
                                  <a:pt x="9696" y="4821"/>
                                </a:lnTo>
                                <a:lnTo>
                                  <a:pt x="9696" y="5158"/>
                                </a:lnTo>
                                <a:lnTo>
                                  <a:pt x="9756" y="5158"/>
                                </a:lnTo>
                                <a:lnTo>
                                  <a:pt x="9756" y="4821"/>
                                </a:lnTo>
                                <a:lnTo>
                                  <a:pt x="9756" y="4485"/>
                                </a:lnTo>
                                <a:lnTo>
                                  <a:pt x="9756" y="4148"/>
                                </a:lnTo>
                                <a:lnTo>
                                  <a:pt x="9756" y="3812"/>
                                </a:lnTo>
                                <a:lnTo>
                                  <a:pt x="9756" y="3474"/>
                                </a:lnTo>
                                <a:lnTo>
                                  <a:pt x="9756" y="3138"/>
                                </a:lnTo>
                                <a:lnTo>
                                  <a:pt x="9756" y="2801"/>
                                </a:lnTo>
                                <a:lnTo>
                                  <a:pt x="9756" y="2465"/>
                                </a:lnTo>
                                <a:lnTo>
                                  <a:pt x="9756" y="2128"/>
                                </a:lnTo>
                                <a:lnTo>
                                  <a:pt x="9756" y="1792"/>
                                </a:lnTo>
                                <a:lnTo>
                                  <a:pt x="9756" y="1455"/>
                                </a:lnTo>
                                <a:lnTo>
                                  <a:pt x="9756" y="1119"/>
                                </a:lnTo>
                                <a:lnTo>
                                  <a:pt x="9756" y="782"/>
                                </a:lnTo>
                                <a:lnTo>
                                  <a:pt x="9756" y="444"/>
                                </a:lnTo>
                                <a:lnTo>
                                  <a:pt x="9756" y="89"/>
                                </a:lnTo>
                                <a:lnTo>
                                  <a:pt x="9756" y="60"/>
                                </a:lnTo>
                                <a:lnTo>
                                  <a:pt x="97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745138" name="AutoShape 1198"/>
                        <wps:cNvSpPr>
                          <a:spLocks/>
                        </wps:cNvSpPr>
                        <wps:spPr bwMode="auto">
                          <a:xfrm>
                            <a:off x="1242" y="5350"/>
                            <a:ext cx="9756" cy="1454"/>
                          </a:xfrm>
                          <a:custGeom>
                            <a:avLst/>
                            <a:gdLst>
                              <a:gd name="T0" fmla="*/ 0 w 9756"/>
                              <a:gd name="T1" fmla="*/ 5351 h 1454"/>
                              <a:gd name="T2" fmla="*/ 0 w 9756"/>
                              <a:gd name="T3" fmla="*/ 6024 h 1454"/>
                              <a:gd name="T4" fmla="*/ 60 w 9756"/>
                              <a:gd name="T5" fmla="*/ 6360 h 1454"/>
                              <a:gd name="T6" fmla="*/ 60 w 9756"/>
                              <a:gd name="T7" fmla="*/ 5687 h 1454"/>
                              <a:gd name="T8" fmla="*/ 89 w 9756"/>
                              <a:gd name="T9" fmla="*/ 6024 h 1454"/>
                              <a:gd name="T10" fmla="*/ 74 w 9756"/>
                              <a:gd name="T11" fmla="*/ 6360 h 1454"/>
                              <a:gd name="T12" fmla="*/ 74 w 9756"/>
                              <a:gd name="T13" fmla="*/ 6715 h 1454"/>
                              <a:gd name="T14" fmla="*/ 89 w 9756"/>
                              <a:gd name="T15" fmla="*/ 6730 h 1454"/>
                              <a:gd name="T16" fmla="*/ 89 w 9756"/>
                              <a:gd name="T17" fmla="*/ 6360 h 1454"/>
                              <a:gd name="T18" fmla="*/ 89 w 9756"/>
                              <a:gd name="T19" fmla="*/ 6024 h 1454"/>
                              <a:gd name="T20" fmla="*/ 74 w 9756"/>
                              <a:gd name="T21" fmla="*/ 5351 h 1454"/>
                              <a:gd name="T22" fmla="*/ 74 w 9756"/>
                              <a:gd name="T23" fmla="*/ 5687 h 1454"/>
                              <a:gd name="T24" fmla="*/ 89 w 9756"/>
                              <a:gd name="T25" fmla="*/ 6024 h 1454"/>
                              <a:gd name="T26" fmla="*/ 89 w 9756"/>
                              <a:gd name="T27" fmla="*/ 5687 h 1454"/>
                              <a:gd name="T28" fmla="*/ 9682 w 9756"/>
                              <a:gd name="T29" fmla="*/ 6024 h 1454"/>
                              <a:gd name="T30" fmla="*/ 9667 w 9756"/>
                              <a:gd name="T31" fmla="*/ 6360 h 1454"/>
                              <a:gd name="T32" fmla="*/ 9667 w 9756"/>
                              <a:gd name="T33" fmla="*/ 6715 h 1454"/>
                              <a:gd name="T34" fmla="*/ 89 w 9756"/>
                              <a:gd name="T35" fmla="*/ 6730 h 1454"/>
                              <a:gd name="T36" fmla="*/ 9667 w 9756"/>
                              <a:gd name="T37" fmla="*/ 6730 h 1454"/>
                              <a:gd name="T38" fmla="*/ 9682 w 9756"/>
                              <a:gd name="T39" fmla="*/ 6715 h 1454"/>
                              <a:gd name="T40" fmla="*/ 9682 w 9756"/>
                              <a:gd name="T41" fmla="*/ 6360 h 1454"/>
                              <a:gd name="T42" fmla="*/ 9682 w 9756"/>
                              <a:gd name="T43" fmla="*/ 5351 h 1454"/>
                              <a:gd name="T44" fmla="*/ 9667 w 9756"/>
                              <a:gd name="T45" fmla="*/ 5687 h 1454"/>
                              <a:gd name="T46" fmla="*/ 9667 w 9756"/>
                              <a:gd name="T47" fmla="*/ 6024 h 1454"/>
                              <a:gd name="T48" fmla="*/ 9682 w 9756"/>
                              <a:gd name="T49" fmla="*/ 5687 h 1454"/>
                              <a:gd name="T50" fmla="*/ 9682 w 9756"/>
                              <a:gd name="T51" fmla="*/ 5351 h 1454"/>
                              <a:gd name="T52" fmla="*/ 9696 w 9756"/>
                              <a:gd name="T53" fmla="*/ 6360 h 1454"/>
                              <a:gd name="T54" fmla="*/ 9696 w 9756"/>
                              <a:gd name="T55" fmla="*/ 6744 h 1454"/>
                              <a:gd name="T56" fmla="*/ 89 w 9756"/>
                              <a:gd name="T57" fmla="*/ 6744 h 1454"/>
                              <a:gd name="T58" fmla="*/ 60 w 9756"/>
                              <a:gd name="T59" fmla="*/ 6715 h 1454"/>
                              <a:gd name="T60" fmla="*/ 0 w 9756"/>
                              <a:gd name="T61" fmla="*/ 6360 h 1454"/>
                              <a:gd name="T62" fmla="*/ 0 w 9756"/>
                              <a:gd name="T63" fmla="*/ 6744 h 1454"/>
                              <a:gd name="T64" fmla="*/ 60 w 9756"/>
                              <a:gd name="T65" fmla="*/ 6804 h 1454"/>
                              <a:gd name="T66" fmla="*/ 9667 w 9756"/>
                              <a:gd name="T67" fmla="*/ 6804 h 1454"/>
                              <a:gd name="T68" fmla="*/ 9756 w 9756"/>
                              <a:gd name="T69" fmla="*/ 6804 h 1454"/>
                              <a:gd name="T70" fmla="*/ 9756 w 9756"/>
                              <a:gd name="T71" fmla="*/ 6715 h 1454"/>
                              <a:gd name="T72" fmla="*/ 9756 w 9756"/>
                              <a:gd name="T73" fmla="*/ 5351 h 1454"/>
                              <a:gd name="T74" fmla="*/ 9696 w 9756"/>
                              <a:gd name="T75" fmla="*/ 5687 h 1454"/>
                              <a:gd name="T76" fmla="*/ 9696 w 9756"/>
                              <a:gd name="T77" fmla="*/ 6360 h 1454"/>
                              <a:gd name="T78" fmla="*/ 9756 w 9756"/>
                              <a:gd name="T79" fmla="*/ 6024 h 1454"/>
                              <a:gd name="T80" fmla="*/ 9756 w 9756"/>
                              <a:gd name="T81" fmla="*/ 5351 h 1454"/>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9756" h="1454">
                                <a:moveTo>
                                  <a:pt x="60" y="0"/>
                                </a:moveTo>
                                <a:lnTo>
                                  <a:pt x="0" y="0"/>
                                </a:lnTo>
                                <a:lnTo>
                                  <a:pt x="0" y="336"/>
                                </a:lnTo>
                                <a:lnTo>
                                  <a:pt x="0" y="673"/>
                                </a:lnTo>
                                <a:lnTo>
                                  <a:pt x="0" y="1009"/>
                                </a:lnTo>
                                <a:lnTo>
                                  <a:pt x="60" y="1009"/>
                                </a:lnTo>
                                <a:lnTo>
                                  <a:pt x="60" y="673"/>
                                </a:lnTo>
                                <a:lnTo>
                                  <a:pt x="60" y="336"/>
                                </a:lnTo>
                                <a:lnTo>
                                  <a:pt x="60" y="0"/>
                                </a:lnTo>
                                <a:close/>
                                <a:moveTo>
                                  <a:pt x="89" y="673"/>
                                </a:moveTo>
                                <a:lnTo>
                                  <a:pt x="74" y="673"/>
                                </a:lnTo>
                                <a:lnTo>
                                  <a:pt x="74" y="1009"/>
                                </a:lnTo>
                                <a:lnTo>
                                  <a:pt x="74" y="1364"/>
                                </a:lnTo>
                                <a:lnTo>
                                  <a:pt x="74" y="1379"/>
                                </a:lnTo>
                                <a:lnTo>
                                  <a:pt x="89" y="1379"/>
                                </a:lnTo>
                                <a:lnTo>
                                  <a:pt x="89" y="1364"/>
                                </a:lnTo>
                                <a:lnTo>
                                  <a:pt x="89" y="1009"/>
                                </a:lnTo>
                                <a:lnTo>
                                  <a:pt x="89" y="673"/>
                                </a:lnTo>
                                <a:close/>
                                <a:moveTo>
                                  <a:pt x="89" y="0"/>
                                </a:moveTo>
                                <a:lnTo>
                                  <a:pt x="74" y="0"/>
                                </a:lnTo>
                                <a:lnTo>
                                  <a:pt x="74" y="336"/>
                                </a:lnTo>
                                <a:lnTo>
                                  <a:pt x="74" y="673"/>
                                </a:lnTo>
                                <a:lnTo>
                                  <a:pt x="89" y="673"/>
                                </a:lnTo>
                                <a:lnTo>
                                  <a:pt x="89" y="336"/>
                                </a:lnTo>
                                <a:lnTo>
                                  <a:pt x="89" y="0"/>
                                </a:lnTo>
                                <a:close/>
                                <a:moveTo>
                                  <a:pt x="9682" y="673"/>
                                </a:moveTo>
                                <a:lnTo>
                                  <a:pt x="9667" y="673"/>
                                </a:lnTo>
                                <a:lnTo>
                                  <a:pt x="9667" y="1009"/>
                                </a:lnTo>
                                <a:lnTo>
                                  <a:pt x="9667" y="1364"/>
                                </a:lnTo>
                                <a:lnTo>
                                  <a:pt x="89" y="1364"/>
                                </a:lnTo>
                                <a:lnTo>
                                  <a:pt x="89" y="1379"/>
                                </a:lnTo>
                                <a:lnTo>
                                  <a:pt x="9667" y="1379"/>
                                </a:lnTo>
                                <a:lnTo>
                                  <a:pt x="9682" y="1379"/>
                                </a:lnTo>
                                <a:lnTo>
                                  <a:pt x="9682" y="1364"/>
                                </a:lnTo>
                                <a:lnTo>
                                  <a:pt x="9682" y="1009"/>
                                </a:lnTo>
                                <a:lnTo>
                                  <a:pt x="9682" y="673"/>
                                </a:lnTo>
                                <a:close/>
                                <a:moveTo>
                                  <a:pt x="9682" y="0"/>
                                </a:moveTo>
                                <a:lnTo>
                                  <a:pt x="9667" y="0"/>
                                </a:lnTo>
                                <a:lnTo>
                                  <a:pt x="9667" y="336"/>
                                </a:lnTo>
                                <a:lnTo>
                                  <a:pt x="9667" y="673"/>
                                </a:lnTo>
                                <a:lnTo>
                                  <a:pt x="9682" y="673"/>
                                </a:lnTo>
                                <a:lnTo>
                                  <a:pt x="9682" y="336"/>
                                </a:lnTo>
                                <a:lnTo>
                                  <a:pt x="9682" y="0"/>
                                </a:lnTo>
                                <a:close/>
                                <a:moveTo>
                                  <a:pt x="9756" y="1009"/>
                                </a:moveTo>
                                <a:lnTo>
                                  <a:pt x="9696" y="1009"/>
                                </a:lnTo>
                                <a:lnTo>
                                  <a:pt x="9696" y="1364"/>
                                </a:lnTo>
                                <a:lnTo>
                                  <a:pt x="9696" y="1393"/>
                                </a:lnTo>
                                <a:lnTo>
                                  <a:pt x="9667" y="1393"/>
                                </a:lnTo>
                                <a:lnTo>
                                  <a:pt x="89" y="1393"/>
                                </a:lnTo>
                                <a:lnTo>
                                  <a:pt x="60" y="1393"/>
                                </a:lnTo>
                                <a:lnTo>
                                  <a:pt x="60" y="1364"/>
                                </a:lnTo>
                                <a:lnTo>
                                  <a:pt x="60" y="1009"/>
                                </a:lnTo>
                                <a:lnTo>
                                  <a:pt x="0" y="1009"/>
                                </a:lnTo>
                                <a:lnTo>
                                  <a:pt x="0" y="1364"/>
                                </a:lnTo>
                                <a:lnTo>
                                  <a:pt x="0" y="1393"/>
                                </a:lnTo>
                                <a:lnTo>
                                  <a:pt x="0" y="1453"/>
                                </a:lnTo>
                                <a:lnTo>
                                  <a:pt x="60" y="1453"/>
                                </a:lnTo>
                                <a:lnTo>
                                  <a:pt x="89" y="1453"/>
                                </a:lnTo>
                                <a:lnTo>
                                  <a:pt x="9667" y="1453"/>
                                </a:lnTo>
                                <a:lnTo>
                                  <a:pt x="9696" y="1453"/>
                                </a:lnTo>
                                <a:lnTo>
                                  <a:pt x="9756" y="1453"/>
                                </a:lnTo>
                                <a:lnTo>
                                  <a:pt x="9756" y="1393"/>
                                </a:lnTo>
                                <a:lnTo>
                                  <a:pt x="9756" y="1364"/>
                                </a:lnTo>
                                <a:lnTo>
                                  <a:pt x="9756" y="1009"/>
                                </a:lnTo>
                                <a:close/>
                                <a:moveTo>
                                  <a:pt x="9756" y="0"/>
                                </a:moveTo>
                                <a:lnTo>
                                  <a:pt x="9696" y="0"/>
                                </a:lnTo>
                                <a:lnTo>
                                  <a:pt x="9696" y="336"/>
                                </a:lnTo>
                                <a:lnTo>
                                  <a:pt x="9696" y="673"/>
                                </a:lnTo>
                                <a:lnTo>
                                  <a:pt x="9696" y="1009"/>
                                </a:lnTo>
                                <a:lnTo>
                                  <a:pt x="9756" y="1009"/>
                                </a:lnTo>
                                <a:lnTo>
                                  <a:pt x="9756" y="673"/>
                                </a:lnTo>
                                <a:lnTo>
                                  <a:pt x="9756" y="336"/>
                                </a:lnTo>
                                <a:lnTo>
                                  <a:pt x="97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5E41C" id="Group 1192" o:spid="_x0000_s1026" style="position:absolute;margin-left:0;margin-top:11.6pt;width:485.25pt;height:228.45pt;z-index:-251617280;mso-position-horizontal:center;mso-position-horizontal-relative:margin" coordorigin="1242,-114" coordsize="9756,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DUmhEAAENzAAAOAAAAZHJzL2Uyb0RvYy54bWzsXduOI8cNfQ+QfxD0GMAe9UUt9WBnjcCO&#10;FwGcxIAnH6DVaC6IRq1I2p11vj5kdbGabDXJwhrJk/2wNeM+xSJ56n7hvPvuy+t+9nl3Or90h7t5&#10;8e1iPtsdtt3Dy+Hpbv7P+x+/Wc9n58vm8LDZd4fd3fzX3Xn+3fs//uHd2/F2V3bP3f5hd5qBkMP5&#10;9u14N3++XI63Nzfn7fPudXP+tjvuDvDxsTu9bi7w6+np5uG0eQPpr/ubcrFobt6608Px1G135zP8&#10;3x/6j/P3Qf7j4257+cfj43l3me3v5qDbJfx7Cv9+xH9v3r/b3D6dNsfnl21UY/MVWrxuXg5QaBL1&#10;w+aymX06vVyJen3Znrpz93j5dtu93nSPjy/bXbABrCkWI2s+nLpPx2DL0+3b0zG5CVw78tNXi93+&#10;/fOH0/GX48+nXnv48adu+68z+OXm7fh0y7/j7089ePbx7W/dA/C5+XTpguFfHk+vKAJMmn0J/v01&#10;+Xf35TLbwv9siqZsVsv5bAvfynZRVMWyZ2D7DDRhvqKsy/kMPn9TFDV9+0vM366WTZ+5aYs1fr3Z&#10;3PYFB2Wjckg+1Kbz4LDzb3PYL8+b4y7wcEaH/HyavTzczau6rhZ1285nh80ruOLP4IqAnBVFu0Lt&#10;UA3Ak3fP3LXsC8LOwIDr1AnnkGsH1yzXi0K4ZnO7/XS+fNh1gZ/N55/Ol77WP8BPgfWHaME9tJDH&#10;1z00gD/dzFb17G0WxEY0gQoGWpZtPXueLes2kvWUZAGNSda6VWRVDGTIqhlM1QvqVSqwXq4rRS+o&#10;QQmm6rViIJCl2QidW5Kl6gUVJIGqZbFS9Cq481XFCu79uixbTVqW+wvu/3K9UHXLIgAac56lWRQU&#10;nANLtywSCs5CWS8LxW9lFgslZ8GSxllQK0jJWShW9ULTjbOg1pCSs1BU66UmjbOg68ZZaFZaoyo5&#10;CbpqnARDtSqLhEqQ0K4VOyvOQds0K60r4iwYfVHFWWibdanJ4zxY8jgPln6cCaPlV5wKSz9ORt1W&#10;Wk9SczIMeTWnw+jncHxP/aFhb835MOytM/moOR+Wfpl81JyPqmi0HqXO5KPmfBjylpIPtT4vOR9G&#10;H7WUfKj1ecn5sORJPnT9OB9GZ4BTPlZfdP04H0YvupR86PpxPkp9OpFJR8Pp0DvSJpONhrNheK+R&#10;bKjeazgbpdqZNpKMtlE6v4aTUS60+VPDuWgWmjDBhCpsxZnQZK04DbqdK06DKktwoI/bK86BKowT&#10;YDT/FWdAFcbdb8xfV9z/qjDu/max0CYUa+5/lcw1J8AYdtacAV0ap8Do1NecAl0a56BcQO2eXtqs&#10;OQe6NE6C3uLXnANjPFxzGmAZrejWchbaRm2hLeehWKgLiZbzYMnjTBjDAywUeXeu68e5qNarUrOX&#10;c2Hpx9kwpmOtoAM2HJROCdf9aVgy6nGxEIToAgtYtg8SjboMZDEgrtAVFYuF4ESvz8VCkGJJ5Kzo&#10;dbpYCFYsgZwWfaAoFpyWxQy6oQX8u1xWTb9JNOw7FAvOjA0Va24HytlxoJwfB8oZcqCcIwfKWXKg&#10;nCgHyqlyoPlsiYW5LVWszR1oPltlPltioe4okM+WWLA7UvPZKvPZEot3R4H8tiUW8bZUsZJ3oPls&#10;VfltS6zpHQXy2xb0TUOH7kjNZ0us7x2p+WyJVb4tVSz0HWg+W2K570jNb1ti0e9IzWdLLP0dqfk9&#10;odgAsKWKPQAHmt8Tip0AR2p+21rms7XMb1tiV8DRNb9tib0BR2p+22r4DNCWKnYJrqBw2vVEhzab&#10;ZzrH2X45xIMc+Gm2wYPXe5wv4dHOsTvjqRoe7MCZ2j0dDAEQv3J8K/DQbhFfxYOkazzMnLh84Bjx&#10;4TQPtJzAFwIPbQ3x4ZRsGl8KPLQixLe6PpXA48QOM8BxSX9KOKFRLXNEk+FIRM2xlDmi0f0Z5rQV&#10;jcwRzYajDbWMlcwRDYdZkppDMo2TJLQcjijUHCOuo+Uwu9FygFDOdhkth5mLmkPyXUbLYVai5pCM&#10;46Qk2KFbDgpzrXDCgTlgNqGWITnHo4GQw7Bcco4ThZDDsFxyjpOAkMOwXHKOA3zIYVguOcfBG3PA&#10;yKxaLjmPh+z3MOpqOcCd3Lu4zR7K0C0Hx4sc0XIYLdUyJOe4VR7K0C2HSR0vAwdCzAGb3WoZknMc&#10;5EIOw3LJOQ5gIYdhueQcB6eQw7Bcco4DT8hhWC45x0EFc8CIoVouOcet5ZBDtxwqEvcubh6HHLrl&#10;UOVEjmg57P9qWkHVEzmi5Y1uOVRSngP3eVEr2MpVy5Cc425uyGFYLjnHLduQw7Bcco77siGHYbnk&#10;HDdfQw7Dcsk57rBiDthDVS2XnOMuasihWw5NiHsXd0pDDt1yaGwiR7R8rVsOjU7kiJbDlqZmB5w2&#10;8Ry4q4lawa6lmkNyjvuWIYdhueQcdyZDDsNyyXkbLe9v+0zOAJaSc9xdDGUYlkvOw/4hZsH9QdV2&#10;yXrYIezz6NZDB8I9HPYA+zy6/dDZyDzRAcVCcN97Ik5KT3AHb3z77jSfwe27j2gPzFE3F5zL0o+z&#10;t7t5f5vp+W4eLhbhl9fu8+6+C5gLzmhxNxy0res1aTsg9geOjE2ZIek7pccgkXDrNHOi75QK3LKA&#10;Prvng75T2uOihrm42iv32mIqb7vvzrvgysEHQodqXZRR1wFBuYVVDEnfKRW4ukijOn2ndIyzvURe&#10;H3gkOZQKS1wWyUsFzCUy2HHtiPIm/OJ7HY5lM70+IMlqSoU3qxrcZVkVvTmhrZSnWzWN88oledd2&#10;uF4qazh67m1y6iZDkpaUCi/BXTHqKek7pQJXXWsrcbpVkzi33Chvwg7XS8UKxrMsLzEkaUmpsL4s&#10;YIWVUZcmtJXydKumcV65Ud6EHb6X4OJtppcGJGlJqfBSUcOeVIaXJrSV8nSrpnFeuSTv2g7XS3AB&#10;O6smJRxpSKnwECiS4Z8alo8ZsFWa2VJZlIoyVzCtzZBWXDtHitOdOInzio3iPCMizHNJhEFimUpl&#10;EqekuF4L8Apf7twJryOMsVQCpT0zA9KbxySkOzNKmuYj3VlUkjkxk8jwGRtZtdEq2cew5CtKxz7z&#10;ZlNJJsxX7F57QHozKssTYz2pxvilD0haEZAsSsn2iJzwUg4Pw9jt8zBgSQdKSZdYy935VfLuhNZj&#10;mbp9GtKbZSXGJmYuGT5jI7nrM4YlbSkd+cyd9Qw+83kgn2UjM0qPMicsyvAZG9ddnzEs+YrSsc+8&#10;OVDy2YTWY5m6fRrSLz3KnLAox2fDsOv7bMCStpSOfObOxJLPJrQey9Tt05DefCy1zYlJR4bP0lzL&#10;9VhCkqaU9v7S5gOTKGdukTyai/OmNEmgN0ViQHuml4ATbpcmWwQpSG++l0T65sQK5zsoAl2PR9xV&#10;bTDqGtzCC3O58OgVtuj0qhb3NQlI7qF01DJtWKyQNigeZtigfgs4BwPirDlzL8hxcQ/yCOtRXkXp&#10;UW4VjTCvq4mwYUeAeKG056eHucv8CBt2YUgKpUKat7XSS5uYn0xJc6dbUdqwe0lSKOW6uVPjXtrE&#10;vH9SmreM6aW5K5MIi+9jodVRYZT2JsQGQO9oXZy3+RzlucshwnmLBcJ5C4CIc6fHhPOmvITzJoQR&#10;504HCedVd8J5U6WIc6cchPPaNuG8aVHEeR1PhHm9WIQ5PWJEQWJ1rrG/d1Bp3HZxcSzKxTk24AOB&#10;uKFhb0gloOfiBHS79wHp1YIB6XXyCen28wPSq/sD0uvtE9Lt8Aek1+IHpNftJ6Tb8w9Ir58bkF7/&#10;n5DuENAfZsJhZT7S7beTTHc4G5Be352Qbu89IF02adLp1xBCun14Kt1fHCeZXj+eZLo9+YB0WzGV&#10;7vcMhHQ7GwJ6PXrS0usPSaDXvxJu3PnTegNmLHiOHyKypAN9+J889Mi52788/Piy3+Mx/vn09PH7&#10;/Wn2eYORecJ/cVwRsH24qHroMBsNOyE0TR8ypY+x8rF7+BXCp5y6PrwPhCOCH56703/mszcI7XM3&#10;P//70+a0m8/2fz1AKJi2qPHG3CX8Ui9XeGXyxL985F82hy2Iuptf5nC3Fn/8/tLHD/p0PL08PUNJ&#10;/aWIQ4cBYB5fMLgKRKM53/ZaxV8gGs3/KSxNC21yifOlqbA0YfP4fxaWZlnBZSIwf3N7HZYG9m9o&#10;xKVQQbxuZIel0V6p8mvuoAe+xqci8dY0Ba+Bo4/0ak8Txe+2N4sSHy9PiYLrQkmU+giU32hvKoBN&#10;y4JJiS+L32NfNmt8ATqlFzCfZKmhOPjtdcNG8UBODRIigtIYVsItlEE1XZrw/6rA98ZTdkJ8qEGa&#10;aqgISgMvFjUGCk6BLo1zYFmaRYJ4+2awIB6+qX4TQWmsJpDFgnjrZtQ2vAvuVzfxxs2yNIsF8bbN&#10;0o2zgLt1ykPZMrM1iCdtuIRR5In3bEYt+arQNI3eIsQzNrUOV6JP0luEeL5mWSvahCEvk41KsKFb&#10;i2N4qnkGu+K9msHGKDCNWlvESzWjnY0C06i1RbxRM2pzzduGwYd4nWa0ta8KTGPoJx6lGXyIwDSG&#10;/8RzNFxuKa1NBKYx+BUP0Sx5sn3U2vgvnqCprQ0uAA+1tFnp0njr0KcTmW0DpvNDqdo8Rzw2Mxwn&#10;YtKowuSordopAtKodopwNM06xHyZmgOM4tGobUzEo7HkcRZwEaXUOXitMPjXkCdi0hjyRFgao4cX&#10;cWkseZwNo43hhVHWh6ptDM6ZBpzRB4joNEYbW4lWoc+LRYAay17Bhz5nFzFqDHkiSo3hPzyGS/67&#10;eq/JFx5rzoiN5JzYSM6KjeRjh43kzNhI3lZsJGfHRIroNTaSL/hsZDZHbTZHIoqNXXo2R7gznVeX&#10;4L1JLjKbIxHPxrRIRrRxoNksyag2jtRsnmRkG0dqNlMyvI0jNZur32PcYMjnzIpdiHW9TYFY2jvQ&#10;fLYgAHW2rtn9XyGW+rauYr3vQM0uELZpM8MKwHAXnmBlRhWAMY/DQQl8YKY+SYOnhxwOdQHhdLP5&#10;6gU/vPzicOg9EU7XTq/h8u0esIdwul19DZcP9/yAAhDHjauDe11YgB5PALbmRYZorx5OAAZHkSFa&#10;rEcTgNeSIkO0OT2SuDIaHpnwDFgZ0Yb0Iu46w4jhaLQeSgAGTlFCNFqPJNBKlv1AAjCMihKi0bDH&#10;058fXNsgmfbDCMAjTl6CH0UAxlaRIRoNGzGKSjjEihyR6kqt3fg6VOSIZsNmilqGJDsjiADEk+Nl&#10;ZAQRgMByIke0HLY8VK0k37jpgVUwPTe8og8HY1FGtBzC6ahlSMYzggiMwqlkBBGAKHRcq4wgAqOQ&#10;KhlBBGDfXZQRLV/qlkOvxHPgNgF61wgiAP2XyBFbOMSf1bwLg7jIETlPz/yuGYQuT+SInBtBBGBI&#10;Fzmi5UYQAegleY6MIAIwwIsc0fKVYbnkPL7GvE+XNK8thx5WlBEth+Wx5l3oi0WOaPlK5xwC3PEc&#10;00EE8Kg2xRH6TU+2wzYNFjjcLxV33OgEefgsr8L1VZJQ9I1SfuOv6oM/gur0lVKOgjOf6Ez6SilH&#10;QY9LHqTPlArtc3FeqbHleSZE2NgbdOp+7WS6fpWM1twcK6enZ4S5ZhOugv29vuqS+yjt3ZhwqcLS&#10;d0p7XLSjqHJxTrkkz6P5yn+kluty4shxOMFILqXCPV61yCRPNUYWGmFeoRE2NkB3TLofP1QyzTnD&#10;fcBUcUlHSnsHJaBbIwekVyejYUU2zqmTrGQXGe/xu/U8+dLVckB6dT0hB37I2RmkUj1wKSUgyaZ0&#10;RKhX/ZJXr7UdS4xOzQb6RUeJY1MMN9GFKVZPdU/FS6kMSyZRSs4ipFdX0/XEooJdTatHTn51kamd&#10;OBLjoOXKSzin7yacV5/7mYPrxAjzPEgwx9gIq+EU0vIy2eDhyMcebmDNR1KdcZGpzuYj3dqVZHr+&#10;xtOYsBqZIDCjnVHTdBsZAallUTpqYX6fEN3q9zLkf6/+Wh4YaUm+cgsnoGsOAcfuIdfDLPv3C57e&#10;Bc/wVwjhLzWGa7Dxr0rin4Lkv4cLocPfvnz/XwAAAP//AwBQSwMEFAAGAAgAAAAhANwdAhTfAAAA&#10;BwEAAA8AAABkcnMvZG93bnJldi54bWxMj0FLw0AUhO+C/2F5gje7m9RqjXkppainItgK4u01+5qE&#10;ZndDdpuk/971pMdhhplv8tVkWjFw7xtnEZKZAsG2dLqxFcLn/vVuCcIHsppaZxnhwh5WxfVVTpl2&#10;o/3gYRcqEUuszwihDqHLpPRlzYb8zHVso3d0vaEQZV9J3dMYy00rU6UepKHGxoWaOt7UXJ52Z4Pw&#10;NtK4nicvw/Z03Fy+94v3r23CiLc30/oZROAp/IXhFz+iQxGZDu5stRctQjwSENJ5CiK6T49qAeKA&#10;cL9UCcgil//5ix8AAAD//wMAUEsBAi0AFAAGAAgAAAAhALaDOJL+AAAA4QEAABMAAAAAAAAAAAAA&#10;AAAAAAAAAFtDb250ZW50X1R5cGVzXS54bWxQSwECLQAUAAYACAAAACEAOP0h/9YAAACUAQAACwAA&#10;AAAAAAAAAAAAAAAvAQAAX3JlbHMvLnJlbHNQSwECLQAUAAYACAAAACEAKMBw1JoRAABDcwAADgAA&#10;AAAAAAAAAAAAAAAuAgAAZHJzL2Uyb0RvYy54bWxQSwECLQAUAAYACAAAACEA3B0CFN8AAAAHAQAA&#10;DwAAAAAAAAAAAAAAAAD0EwAAZHJzL2Rvd25yZXYueG1sUEsFBgAAAAAEAAQA8wAAAAAVAAAAAA==&#10;">
                <v:shape id="AutoShape 1197" o:spid="_x0000_s1027" style="position:absolute;left:1242;top:-114;width:9756;height:5801;visibility:visible;mso-wrap-style:square;v-text-anchor:top" coordsize="9756,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bzygAAAOEAAAAPAAAAZHJzL2Rvd25yZXYueG1sRI9BSwMx&#10;FITvgv8hPMGbTbRr7W6bFhEELfTQ1h56e2xeN4ublyVJ29VfbwTB4zAz3zDz5eA6caYQW88a7kcK&#10;BHHtTcuNho/d690UREzIBjvPpOGLIiwX11dzrIy/8IbO29SIDOFYoQabUl9JGWtLDuPI98TZO/rg&#10;MGUZGmkCXjLcdfJBqYl02HJesNjTi6X6c3tyGsq0esf1af/YPNlyGtR6dfiOE61vb4bnGYhEQ/oP&#10;/7XfjIZxUYxVUZbw+yi/Abn4AQAA//8DAFBLAQItABQABgAIAAAAIQDb4fbL7gAAAIUBAAATAAAA&#10;AAAAAAAAAAAAAAAAAABbQ29udGVudF9UeXBlc10ueG1sUEsBAi0AFAAGAAgAAAAhAFr0LFu/AAAA&#10;FQEAAAsAAAAAAAAAAAAAAAAAHwEAAF9yZWxzLy5yZWxzUEsBAi0AFAAGAAgAAAAhAO4U5vPKAAAA&#10;4QAAAA8AAAAAAAAAAAAAAAAABwIAAGRycy9kb3ducmV2LnhtbFBLBQYAAAAAAwADALcAAAD+AgAA&#10;AAA=&#10;" path="m89,4485r-15,l74,4821r,337l89,5158r,-337l89,4485xm89,3812r-15,l74,4147r,1l74,4485r15,l89,4148r,-1l89,3812xm89,3138r-15,l74,3474r,338l89,3812r,-338l89,3138xm89,2465r-15,l74,2801r,337l89,3138r,-337l89,2465xm89,1792r-15,l74,2128r,337l89,2465r,-337l89,1792xm89,1119r-15,l74,1455r,337l89,1792r,-337l89,1119xm89,75r-15,l74,89r,355l74,781r,1l74,1119r15,l89,782r,-1l89,444,89,89r,-14xm9682,4485r-15,l9667,4821r,337l9682,5158r,-337l9682,4485xm9682,3812r-15,l9667,4147r,1l9667,4485r15,l9682,4148r,-1l9682,3812xm9682,3138r-15,l9667,3474r,338l9682,3812r,-338l9682,3138xm9682,2465r-15,l9667,2801r,337l9682,3138r,-337l9682,2465xm9682,1792r-15,l9667,2128r,337l9682,2465r,-337l9682,1792xm9682,1119r-15,l9667,1455r,337l9682,1792r,-337l9682,1119xm9682,75r-15,l89,75r,14l9667,89r,355l9667,781r,1l9667,1119r15,l9682,782r,-1l9682,444r,-355l9682,75xm9756,r-60,l9667,,89,,60,,,,,60,,89,,444,,782r,337l,1455r,337l,2128r,337l,2801r,337l,3474r,338l,4148r,337l,4821r,337l,5494r60,l60,5158r,-337l60,4485r,-337l60,3812r,-338l60,3138r,-337l60,2465r,-337l60,1792r,-337l60,1119r,-337l60,444,60,89r,-29l89,60r9578,l9696,60r,29l9696,444r,338l9696,1119r,336l9696,1792r,336l9696,2465r,336l9696,3138r,336l9696,3812r,336l9696,4485r,336l9696,5158r60,l9756,4821r,-336l9756,4148r,-336l9756,3474r,-336l9756,2801r,-336l9756,2128r,-336l9756,1455r,-336l9756,782r,-338l9756,89r,-29l9756,xe" fillcolor="black" stroked="f">
                  <v:path arrowok="t" o:connecttype="custom" o:connectlocs="74,5590;89,5590;74,4839;89,4840;74,3714;89,4465;89,2964;74,3714;89,2964;74,2588;89,2588;74,1837;89,1462;74,711;89,1462;89,315;9667,5590;9682,5590;9667,4465;9682,5215;9682,3714;9667,4465;9682,3714;9667,3338;9682,3338;9667,2588;9682,2588;9667,1462;9682,1837;9667,299;9667,711;9682,1462;9682,315;9696,215;60,215;0,315;0,1837;0,3338;0,4840;0,6341;60,5215;60,3714;60,2213;60,711;9667,282;9696,1086;9696,2588;9696,4088;9696,5590;9756,5215;9756,3714;9756,2213;9756,711;9756,215" o:connectangles="0,0,0,0,0,0,0,0,0,0,0,0,0,0,0,0,0,0,0,0,0,0,0,0,0,0,0,0,0,0,0,0,0,0,0,0,0,0,0,0,0,0,0,0,0,0,0,0,0,0,0,0,0,0"/>
                </v:shape>
                <v:shape id="AutoShape 1198" o:spid="_x0000_s1028" style="position:absolute;left:1242;top:5350;width:9756;height:1454;visibility:visible;mso-wrap-style:square;v-text-anchor:top" coordsize="9756,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37yAAAAOEAAAAPAAAAZHJzL2Rvd25yZXYueG1sRE/Pa8Iw&#10;FL4L+x/CG+wimjqdbp1RRDcQhwd1sB0fzVvT2byUJtr635uD4PHj+z2dt7YUZ6p94VjBoJ+AIM6c&#10;LjhX8H347L2C8AFZY+mYFFzIw3z20Jliql3DOzrvQy5iCPsUFZgQqlRKnxmy6PuuIo7cn6sthgjr&#10;XOoamxhuS/mcJGNpseDYYLCipaHsuD9ZBb/m/2Ps880Km63OutXP1/DkJ0o9PbaLdxCB2nAX39xr&#10;reBtNBm9DIZxcnwU34CcXQEAAP//AwBQSwECLQAUAAYACAAAACEA2+H2y+4AAACFAQAAEwAAAAAA&#10;AAAAAAAAAAAAAAAAW0NvbnRlbnRfVHlwZXNdLnhtbFBLAQItABQABgAIAAAAIQBa9CxbvwAAABUB&#10;AAALAAAAAAAAAAAAAAAAAB8BAABfcmVscy8ucmVsc1BLAQItABQABgAIAAAAIQAIMX37yAAAAOEA&#10;AAAPAAAAAAAAAAAAAAAAAAcCAABkcnMvZG93bnJldi54bWxQSwUGAAAAAAMAAwC3AAAA/AIAAAAA&#10;" path="m60,l,,,336,,673r,336l60,1009r,-336l60,336,60,xm89,673r-15,l74,1009r,355l74,1379r15,l89,1364r,-355l89,673xm89,l74,r,336l74,673r15,l89,336,89,xm9682,673r-15,l9667,1009r,355l89,1364r,15l9667,1379r15,l9682,1364r,-355l9682,673xm9682,r-15,l9667,336r,337l9682,673r,-337l9682,xm9756,1009r-60,l9696,1364r,29l9667,1393r-9578,l60,1393r,-29l60,1009r-60,l,1364r,29l,1453r60,l89,1453r9578,l9696,1453r60,l9756,1393r,-29l9756,1009xm9756,r-60,l9696,336r,337l9696,1009r60,l9756,673r,-337l9756,xe" fillcolor="black" stroked="f">
                  <v:path arrowok="t" o:connecttype="custom" o:connectlocs="0,5351;0,6024;60,6360;60,5687;89,6024;74,6360;74,6715;89,6730;89,6360;89,6024;74,5351;74,5687;89,6024;89,5687;9682,6024;9667,6360;9667,6715;89,6730;9667,6730;9682,6715;9682,6360;9682,5351;9667,5687;9667,6024;9682,5687;9682,5351;9696,6360;9696,6744;89,6744;60,6715;0,6360;0,6744;60,6804;9667,6804;9756,6804;9756,6715;9756,5351;9696,5687;9696,6360;9756,6024;9756,5351" o:connectangles="0,0,0,0,0,0,0,0,0,0,0,0,0,0,0,0,0,0,0,0,0,0,0,0,0,0,0,0,0,0,0,0,0,0,0,0,0,0,0,0,0"/>
                </v:shape>
                <w10:wrap anchorx="margin"/>
              </v:group>
            </w:pict>
          </mc:Fallback>
        </mc:AlternateContent>
      </w:r>
    </w:p>
    <w:p w14:paraId="1A50578F" w14:textId="5C9952CB" w:rsidR="00360BA5" w:rsidRPr="004B0DA6" w:rsidRDefault="00360BA5" w:rsidP="00360BA5">
      <w:pPr>
        <w:pStyle w:val="ListParagraph"/>
        <w:rPr>
          <w:b/>
        </w:rPr>
      </w:pPr>
    </w:p>
    <w:p w14:paraId="28C32C99" w14:textId="2D6ED14F" w:rsidR="0056179C" w:rsidRPr="004B0DA6" w:rsidRDefault="0056179C" w:rsidP="00360BA5">
      <w:pPr>
        <w:pStyle w:val="ListParagraph"/>
        <w:ind w:left="0"/>
      </w:pPr>
      <w:r w:rsidRPr="004B0DA6">
        <w:rPr>
          <w:b/>
        </w:rPr>
        <w:t>Note</w:t>
      </w:r>
      <w:r w:rsidRPr="004B0DA6">
        <w:rPr>
          <w:b/>
          <w:spacing w:val="-1"/>
        </w:rPr>
        <w:t xml:space="preserve"> </w:t>
      </w:r>
      <w:r w:rsidRPr="004B0DA6">
        <w:rPr>
          <w:b/>
        </w:rPr>
        <w:t>to</w:t>
      </w:r>
      <w:r w:rsidRPr="004B0DA6">
        <w:rPr>
          <w:b/>
          <w:spacing w:val="-2"/>
        </w:rPr>
        <w:t xml:space="preserve"> </w:t>
      </w:r>
      <w:r w:rsidRPr="004B0DA6">
        <w:rPr>
          <w:b/>
        </w:rPr>
        <w:t>Preparer</w:t>
      </w:r>
      <w:r w:rsidRPr="004B0DA6">
        <w:t>:</w:t>
      </w:r>
      <w:r w:rsidR="00360BA5" w:rsidRPr="004B0DA6">
        <w:t xml:space="preserve"> </w:t>
      </w:r>
      <w:r w:rsidRPr="004B0DA6">
        <w:t xml:space="preserve">The financial statement amounts for the pension liability and </w:t>
      </w:r>
      <w:r w:rsidR="0078372D" w:rsidRPr="004B0DA6">
        <w:t>OPEB liability</w:t>
      </w:r>
      <w:r w:rsidRPr="004B0DA6">
        <w:t xml:space="preserve"> / asset presented in the updated fiscal year-end </w:t>
      </w:r>
      <w:r w:rsidR="00A85B23" w:rsidRPr="004B0DA6">
        <w:t>202</w:t>
      </w:r>
      <w:r w:rsidR="0013633E" w:rsidRPr="004B0DA6">
        <w:t>4</w:t>
      </w:r>
      <w:r w:rsidRPr="004B0DA6">
        <w:t xml:space="preserve"> illustrative statements were not changed from the amounts presented in the prior fiscal year. Since both the pension and OPEB GASB statements were implemented and updated in the Illustrated statements at least two years ago, financial statement preparers should have now had experience with them. LGC Staff is reverting to our historical practice of only changing amounts in the illustrative statements that are </w:t>
      </w:r>
      <w:r w:rsidR="00677F89" w:rsidRPr="004B0DA6">
        <w:t xml:space="preserve">  </w:t>
      </w:r>
      <w:r w:rsidRPr="004B0DA6">
        <w:t>the result of any new accounting and reporting changes required for the FYE 202</w:t>
      </w:r>
      <w:r w:rsidR="0013633E" w:rsidRPr="004B0DA6">
        <w:t>4</w:t>
      </w:r>
      <w:r w:rsidRPr="004B0DA6">
        <w:t xml:space="preserve">.  </w:t>
      </w:r>
    </w:p>
    <w:p w14:paraId="735974E8" w14:textId="4842A19D" w:rsidR="00360BA5" w:rsidRPr="004B0DA6" w:rsidRDefault="0056179C" w:rsidP="00360BA5">
      <w:pPr>
        <w:tabs>
          <w:tab w:val="right" w:pos="9360"/>
        </w:tabs>
        <w:spacing w:before="301" w:after="0"/>
        <w:jc w:val="both"/>
        <w:rPr>
          <w:rFonts w:ascii="Times New Roman" w:hAnsi="Times New Roman" w:cs="Times New Roman"/>
          <w:sz w:val="24"/>
          <w:szCs w:val="24"/>
        </w:rPr>
      </w:pPr>
      <w:r w:rsidRPr="004B0DA6">
        <w:rPr>
          <w:rFonts w:ascii="Times New Roman" w:hAnsi="Times New Roman" w:cs="Times New Roman"/>
          <w:sz w:val="24"/>
          <w:szCs w:val="24"/>
        </w:rPr>
        <w:t xml:space="preserve">Conversion workbooks were updated to include the current fiscal year- end Pension and OPEB data. The pension data used in development of the updated conversion workbooks was from the LGERS, ROD &amp; TSERS JE Templates that are all available on the NC DST </w:t>
      </w:r>
      <w:hyperlink r:id="rId34">
        <w:r w:rsidRPr="004B0DA6">
          <w:rPr>
            <w:rFonts w:ascii="Times New Roman" w:hAnsi="Times New Roman" w:cs="Times New Roman"/>
            <w:sz w:val="24"/>
            <w:szCs w:val="24"/>
          </w:rPr>
          <w:t>Financial Statement</w:t>
        </w:r>
      </w:hyperlink>
      <w:r w:rsidRPr="004B0DA6">
        <w:rPr>
          <w:rFonts w:ascii="Times New Roman" w:hAnsi="Times New Roman" w:cs="Times New Roman"/>
          <w:sz w:val="24"/>
          <w:szCs w:val="24"/>
        </w:rPr>
        <w:t xml:space="preserve"> </w:t>
      </w:r>
      <w:hyperlink r:id="rId35">
        <w:r w:rsidRPr="004B0DA6">
          <w:rPr>
            <w:rFonts w:ascii="Times New Roman" w:hAnsi="Times New Roman" w:cs="Times New Roman"/>
            <w:sz w:val="24"/>
            <w:szCs w:val="24"/>
          </w:rPr>
          <w:t>Resource</w:t>
        </w:r>
      </w:hyperlink>
      <w:r w:rsidRPr="004B0DA6">
        <w:rPr>
          <w:rFonts w:ascii="Times New Roman" w:hAnsi="Times New Roman" w:cs="Times New Roman"/>
          <w:sz w:val="24"/>
          <w:szCs w:val="24"/>
        </w:rPr>
        <w:t>s listed by each Unit Type under Pension Resources.</w:t>
      </w:r>
      <w:r w:rsidR="00140307" w:rsidRPr="004B0DA6">
        <w:rPr>
          <w:rFonts w:ascii="Times New Roman" w:hAnsi="Times New Roman" w:cs="Times New Roman"/>
          <w:sz w:val="24"/>
          <w:szCs w:val="24"/>
          <w:highlight w:val="yellow"/>
        </w:rPr>
        <w:t xml:space="preserve"> </w:t>
      </w:r>
      <w:hyperlink r:id="rId36" w:history="1">
        <w:r w:rsidR="00AE68BF" w:rsidRPr="004B0DA6">
          <w:rPr>
            <w:rFonts w:ascii="Times New Roman" w:hAnsi="Times New Roman" w:cs="Times New Roman"/>
            <w:color w:val="0000FF"/>
            <w:sz w:val="24"/>
            <w:szCs w:val="24"/>
            <w:highlight w:val="yellow"/>
            <w:u w:val="single"/>
          </w:rPr>
          <w:t>Memorandum #2025-01</w:t>
        </w:r>
      </w:hyperlink>
      <w:r w:rsidR="00AE68BF" w:rsidRPr="004B0DA6">
        <w:rPr>
          <w:rFonts w:ascii="Times New Roman" w:hAnsi="Times New Roman" w:cs="Times New Roman"/>
          <w:sz w:val="24"/>
          <w:szCs w:val="24"/>
          <w:highlight w:val="yellow"/>
        </w:rPr>
        <w:t xml:space="preserve"> </w:t>
      </w:r>
      <w:r w:rsidR="00140307" w:rsidRPr="004B0DA6">
        <w:rPr>
          <w:rFonts w:ascii="Times New Roman" w:hAnsi="Times New Roman" w:cs="Times New Roman"/>
          <w:sz w:val="24"/>
          <w:szCs w:val="24"/>
          <w:highlight w:val="yellow"/>
        </w:rPr>
        <w:t>“Firefighter’s and Rescue Squad Workers’ Pension Fund Disclosure Amounts”</w:t>
      </w:r>
      <w:r w:rsidR="00CD4726" w:rsidRPr="004B0DA6">
        <w:rPr>
          <w:rFonts w:ascii="Times New Roman" w:hAnsi="Times New Roman" w:cs="Times New Roman"/>
          <w:sz w:val="24"/>
          <w:szCs w:val="24"/>
          <w:highlight w:val="yellow"/>
        </w:rPr>
        <w:t xml:space="preserve"> on the DST website</w:t>
      </w:r>
      <w:r w:rsidR="00140307" w:rsidRPr="004B0DA6">
        <w:rPr>
          <w:rFonts w:ascii="Times New Roman" w:hAnsi="Times New Roman" w:cs="Times New Roman"/>
          <w:sz w:val="24"/>
          <w:szCs w:val="24"/>
          <w:highlight w:val="yellow"/>
        </w:rPr>
        <w:t xml:space="preserve"> provide</w:t>
      </w:r>
      <w:r w:rsidR="00F82228" w:rsidRPr="004B0DA6">
        <w:rPr>
          <w:rFonts w:ascii="Times New Roman" w:hAnsi="Times New Roman" w:cs="Times New Roman"/>
          <w:sz w:val="24"/>
          <w:szCs w:val="24"/>
          <w:highlight w:val="yellow"/>
        </w:rPr>
        <w:t>s</w:t>
      </w:r>
      <w:r w:rsidR="00140307" w:rsidRPr="004B0DA6">
        <w:rPr>
          <w:rFonts w:ascii="Times New Roman" w:hAnsi="Times New Roman" w:cs="Times New Roman"/>
          <w:sz w:val="24"/>
          <w:szCs w:val="24"/>
          <w:highlight w:val="yellow"/>
        </w:rPr>
        <w:t xml:space="preserve"> the information </w:t>
      </w:r>
      <w:r w:rsidR="006209BE" w:rsidRPr="004B0DA6">
        <w:rPr>
          <w:rFonts w:ascii="Times New Roman" w:hAnsi="Times New Roman" w:cs="Times New Roman"/>
          <w:sz w:val="24"/>
          <w:szCs w:val="24"/>
          <w:highlight w:val="yellow"/>
        </w:rPr>
        <w:t>to make</w:t>
      </w:r>
      <w:r w:rsidR="00140307" w:rsidRPr="004B0DA6">
        <w:rPr>
          <w:rFonts w:ascii="Times New Roman" w:hAnsi="Times New Roman" w:cs="Times New Roman"/>
          <w:sz w:val="24"/>
          <w:szCs w:val="24"/>
          <w:highlight w:val="yellow"/>
        </w:rPr>
        <w:t xml:space="preserve"> the</w:t>
      </w:r>
      <w:r w:rsidR="006209BE" w:rsidRPr="004B0DA6">
        <w:rPr>
          <w:rFonts w:ascii="Times New Roman" w:hAnsi="Times New Roman" w:cs="Times New Roman"/>
          <w:sz w:val="24"/>
          <w:szCs w:val="24"/>
          <w:highlight w:val="yellow"/>
        </w:rPr>
        <w:t xml:space="preserve"> required</w:t>
      </w:r>
      <w:r w:rsidR="00140307" w:rsidRPr="004B0DA6">
        <w:rPr>
          <w:rFonts w:ascii="Times New Roman" w:hAnsi="Times New Roman" w:cs="Times New Roman"/>
          <w:sz w:val="24"/>
          <w:szCs w:val="24"/>
          <w:highlight w:val="yellow"/>
        </w:rPr>
        <w:t xml:space="preserve"> Fir</w:t>
      </w:r>
      <w:r w:rsidR="00F82228" w:rsidRPr="004B0DA6">
        <w:rPr>
          <w:rFonts w:ascii="Times New Roman" w:hAnsi="Times New Roman" w:cs="Times New Roman"/>
          <w:sz w:val="24"/>
          <w:szCs w:val="24"/>
          <w:highlight w:val="yellow"/>
        </w:rPr>
        <w:t>e</w:t>
      </w:r>
      <w:r w:rsidR="00140307" w:rsidRPr="004B0DA6">
        <w:rPr>
          <w:rFonts w:ascii="Times New Roman" w:hAnsi="Times New Roman" w:cs="Times New Roman"/>
          <w:sz w:val="24"/>
          <w:szCs w:val="24"/>
          <w:highlight w:val="yellow"/>
        </w:rPr>
        <w:t>fighters’ Plan disclosures</w:t>
      </w:r>
      <w:r w:rsidR="00360BA5" w:rsidRPr="004B0DA6">
        <w:rPr>
          <w:rFonts w:ascii="Times New Roman" w:hAnsi="Times New Roman" w:cs="Times New Roman"/>
          <w:sz w:val="24"/>
          <w:szCs w:val="24"/>
        </w:rPr>
        <w:t>.</w:t>
      </w:r>
    </w:p>
    <w:p w14:paraId="1DD17A1A" w14:textId="77777777" w:rsidR="00360BA5" w:rsidRPr="004B0DA6" w:rsidRDefault="00360BA5" w:rsidP="00360BA5">
      <w:pPr>
        <w:tabs>
          <w:tab w:val="right" w:pos="9360"/>
        </w:tabs>
        <w:spacing w:before="301" w:after="0"/>
        <w:jc w:val="both"/>
        <w:rPr>
          <w:rFonts w:ascii="Times New Roman" w:hAnsi="Times New Roman" w:cs="Times New Roman"/>
          <w:sz w:val="24"/>
          <w:szCs w:val="24"/>
        </w:rPr>
      </w:pPr>
    </w:p>
    <w:p w14:paraId="12392E9F" w14:textId="77777777" w:rsidR="00360BA5" w:rsidRPr="004B0DA6" w:rsidRDefault="00360BA5" w:rsidP="00360BA5">
      <w:pPr>
        <w:pStyle w:val="ListParagraph"/>
        <w:rPr>
          <w:u w:val="single"/>
        </w:rPr>
      </w:pPr>
    </w:p>
    <w:p w14:paraId="74CEFB09" w14:textId="0ECE7E99" w:rsidR="0056179C" w:rsidRPr="004B0DA6" w:rsidRDefault="0056179C" w:rsidP="00360BA5">
      <w:pPr>
        <w:pStyle w:val="ListParagraph"/>
        <w:numPr>
          <w:ilvl w:val="0"/>
          <w:numId w:val="29"/>
        </w:numPr>
        <w:rPr>
          <w:u w:val="single"/>
        </w:rPr>
      </w:pPr>
      <w:r w:rsidRPr="004B0DA6">
        <w:rPr>
          <w:u w:val="single"/>
        </w:rPr>
        <w:t>Local Governmental Employees' Retirement System</w:t>
      </w:r>
    </w:p>
    <w:p w14:paraId="0AD6ED40" w14:textId="77777777" w:rsidR="00360BA5" w:rsidRPr="004B0DA6" w:rsidRDefault="00360BA5" w:rsidP="00360BA5">
      <w:pPr>
        <w:ind w:left="360"/>
        <w:rPr>
          <w:rFonts w:ascii="Times New Roman" w:hAnsi="Times New Roman" w:cs="Times New Roman"/>
        </w:rPr>
      </w:pPr>
    </w:p>
    <w:p w14:paraId="5C20D2E9" w14:textId="1670BD14"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i/>
          <w:sz w:val="24"/>
        </w:rPr>
        <w:t>Plan Description</w:t>
      </w:r>
      <w:r w:rsidRPr="004B0DA6">
        <w:rPr>
          <w:rFonts w:ascii="Times New Roman" w:hAnsi="Times New Roman" w:cs="Times New Roman"/>
          <w:sz w:val="24"/>
        </w:rPr>
        <w:t xml:space="preserve">.  The City of Dogwood is a participating employer in the statewide Local Governmental Employees’ Retirement System (LGERS), a cost-sharing multiple-employer defined benefit pension plan administered by the State of North Carolina.  LGERS membership is comprised of general employees and local law enforcement officers (LEOs) of participating local governmental entities.  Article 3 of G.S. Chapter 128 assigns the authority to establish and amend benefit provisions to the North Carolina General Assembly.  Management of the plan is vested in the LGERS Board of Trustees, which consists of 13 members – nine appointed by the Governor, one appointed by the State Senate, one appointed by the State House of Representatives, and the State Treasurer and State Superintendent, who serve as ex-officio members.  The Local Governmental Employees’ Retirement System is included in the </w:t>
      </w:r>
      <w:r w:rsidR="00ED3106" w:rsidRPr="004B0DA6">
        <w:rPr>
          <w:rFonts w:ascii="Times New Roman" w:hAnsi="Times New Roman" w:cs="Times New Roman"/>
          <w:sz w:val="24"/>
        </w:rPr>
        <w:t xml:space="preserve">Annual Comprehensive Financial Report </w:t>
      </w:r>
      <w:r w:rsidRPr="004B0DA6">
        <w:rPr>
          <w:rFonts w:ascii="Times New Roman" w:hAnsi="Times New Roman" w:cs="Times New Roman"/>
          <w:sz w:val="24"/>
        </w:rPr>
        <w:t xml:space="preserve">for the State of North Carolina.  The State’s </w:t>
      </w:r>
      <w:r w:rsidR="00ED3106" w:rsidRPr="004B0DA6">
        <w:rPr>
          <w:rFonts w:ascii="Times New Roman" w:hAnsi="Times New Roman" w:cs="Times New Roman"/>
          <w:sz w:val="24"/>
        </w:rPr>
        <w:t>Annual Comprehensive Financial Report i</w:t>
      </w:r>
      <w:r w:rsidRPr="004B0DA6">
        <w:rPr>
          <w:rFonts w:ascii="Times New Roman" w:hAnsi="Times New Roman" w:cs="Times New Roman"/>
          <w:sz w:val="24"/>
        </w:rPr>
        <w:t>ncludes financial statements and required supplementary information for LGERS.  That report may be obtained by writing to the Office of the State Controller, 1410 Mail Service Center, Raleigh, North Carolina 27699-1410, by calling (919) 981-5454, or at www.osc.nc.gov.</w:t>
      </w:r>
    </w:p>
    <w:p w14:paraId="0C03ED63" w14:textId="77777777" w:rsidR="007543D6" w:rsidRPr="004B0DA6" w:rsidRDefault="007543D6" w:rsidP="00203597">
      <w:pPr>
        <w:spacing w:after="0"/>
        <w:jc w:val="both"/>
        <w:rPr>
          <w:rFonts w:ascii="Times New Roman" w:hAnsi="Times New Roman" w:cs="Times New Roman"/>
          <w:i/>
          <w:sz w:val="24"/>
        </w:rPr>
      </w:pPr>
    </w:p>
    <w:p w14:paraId="509A25A4" w14:textId="3482765F"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i/>
          <w:sz w:val="24"/>
        </w:rPr>
        <w:lastRenderedPageBreak/>
        <w:t>Benefits Provided</w:t>
      </w:r>
      <w:r w:rsidRPr="004B0DA6">
        <w:rPr>
          <w:rFonts w:ascii="Times New Roman" w:hAnsi="Times New Roman" w:cs="Times New Roman"/>
          <w:sz w:val="24"/>
        </w:rPr>
        <w:t xml:space="preserve">.  LGERS provides retirement and survivor benefits.  Retirement benefits are determined as 1.85% of the member’s average final compensation times the member’s years of creditable service.  A member’s average final compensation is calculated as the average of a member’s four highest consecutive years of compensation.  Plan members are eligible to retire with full retirement benefits at age 65 with five years of creditable service, at age 60 with 25 years of creditable service, or at any age with 30 years of creditable </w:t>
      </w:r>
      <w:r w:rsidR="00433CFA" w:rsidRPr="004B0DA6">
        <w:rPr>
          <w:rFonts w:ascii="Times New Roman" w:hAnsi="Times New Roman" w:cs="Times New Roman"/>
          <w:sz w:val="24"/>
        </w:rPr>
        <w:t xml:space="preserve">agency </w:t>
      </w:r>
      <w:r w:rsidRPr="004B0DA6">
        <w:rPr>
          <w:rFonts w:ascii="Times New Roman" w:hAnsi="Times New Roman" w:cs="Times New Roman"/>
          <w:sz w:val="24"/>
        </w:rPr>
        <w:t>service.  Plan members are eligible to retire with partial retirement benefits at age 50 with 20 years of creditable service or at age 60 with five years of creditable service (age 55 for firefighters).  Survivor benefits are available to eligible beneficiaries of members who die while in active service or within 180 days of their last day of service and who have either completed 20 years of creditable service regardless of age (15 years of creditable service for firefighters and rescue squad members who are killed in the line of duty) or have completed five years of service and have reached age 60.  Eligible beneficiaries may elect to receive a monthly Survivor’s Alternate Benefit for life or a return of the member’s contributions.  The plan does not provide for automatic post-retirement benefit increases.  Increases are contingent upon actuarial gains of the plan.</w:t>
      </w:r>
    </w:p>
    <w:p w14:paraId="31E761B5" w14:textId="77777777" w:rsidR="007543D6" w:rsidRPr="004B0DA6" w:rsidRDefault="007543D6" w:rsidP="00203597">
      <w:pPr>
        <w:spacing w:after="0"/>
        <w:jc w:val="both"/>
        <w:rPr>
          <w:rFonts w:ascii="Times New Roman" w:hAnsi="Times New Roman" w:cs="Times New Roman"/>
          <w:sz w:val="24"/>
        </w:rPr>
      </w:pPr>
    </w:p>
    <w:p w14:paraId="398BA5E7" w14:textId="0DB69E66"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LGERS plan members who are LEOs are eligible to retire with full retirement benefits at age 55 with five years of creditable service as an officer, or at any age with 30 years of creditable service.  LEO plan members are eligible to retire with partial retirement benefits at age 50 with 15 years of creditable service as an officer.  Survivor benefits are available to eligible beneficiaries of LEO members who die while in active service or within 180 days of their last day of service and who also have either completed 20 years of creditable service regardless of age, or have completed 15 years of service as a LEO and have reached age 50, or have completed five years of creditable service as a LEO and have reached age 55, or have completed 15 years of creditable service as a LEO if killed in the line of duty.  Eligible beneficiaries may elect to receive a monthly Survivor’s Alternate Benefit for life or a return of the member’s contributions.</w:t>
      </w:r>
    </w:p>
    <w:p w14:paraId="68B8B575" w14:textId="6BB2B672"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i/>
          <w:sz w:val="24"/>
        </w:rPr>
        <w:t>Contributions.</w:t>
      </w:r>
      <w:r w:rsidRPr="004B0DA6">
        <w:rPr>
          <w:rFonts w:ascii="Times New Roman" w:hAnsi="Times New Roman" w:cs="Times New Roman"/>
          <w:sz w:val="24"/>
        </w:rPr>
        <w:t xml:space="preserve">  Contribution provisions are established by General Statute 128-30 and may be amended only by the North Carolina General Assembly.  City of Dogwood employees are required to contribute 6% of their compensation.  Employer contributions are actuarially determined and set annually by the LGERS Board of Trustees.  The City of Dogwood’s contractually required contribution rate for the year ended June 30, </w:t>
      </w:r>
      <w:r w:rsidR="00A85B23" w:rsidRPr="004B0DA6">
        <w:rPr>
          <w:rFonts w:ascii="Times New Roman" w:hAnsi="Times New Roman" w:cs="Times New Roman"/>
          <w:sz w:val="24"/>
        </w:rPr>
        <w:t>202</w:t>
      </w:r>
      <w:r w:rsidR="0013633E" w:rsidRPr="004B0DA6">
        <w:rPr>
          <w:rFonts w:ascii="Times New Roman" w:hAnsi="Times New Roman" w:cs="Times New Roman"/>
          <w:sz w:val="24"/>
        </w:rPr>
        <w:t>4</w:t>
      </w:r>
      <w:r w:rsidRPr="004B0DA6">
        <w:rPr>
          <w:rFonts w:ascii="Times New Roman" w:hAnsi="Times New Roman" w:cs="Times New Roman"/>
          <w:sz w:val="24"/>
        </w:rPr>
        <w:t xml:space="preserve">, was 9.70% of compensation for law enforcement officers and 8.95% for general employees and firefighters, actuarially determined as an amount that, when combined with employee contributions, is expected to finance the costs of benefits earned by employees during the year.  Contributions to the pension plan from the City of Dogwood were $155,000 for the year ended June 30, </w:t>
      </w:r>
      <w:r w:rsidR="00A85B23" w:rsidRPr="004B0DA6">
        <w:rPr>
          <w:rFonts w:ascii="Times New Roman" w:hAnsi="Times New Roman" w:cs="Times New Roman"/>
          <w:sz w:val="24"/>
        </w:rPr>
        <w:t>202</w:t>
      </w:r>
      <w:r w:rsidR="0013633E" w:rsidRPr="004B0DA6">
        <w:rPr>
          <w:rFonts w:ascii="Times New Roman" w:hAnsi="Times New Roman" w:cs="Times New Roman"/>
          <w:sz w:val="24"/>
        </w:rPr>
        <w:t>4</w:t>
      </w:r>
      <w:r w:rsidRPr="004B0DA6">
        <w:rPr>
          <w:rFonts w:ascii="Times New Roman" w:hAnsi="Times New Roman" w:cs="Times New Roman"/>
          <w:sz w:val="24"/>
        </w:rPr>
        <w:t>.</w:t>
      </w:r>
    </w:p>
    <w:p w14:paraId="3C6F147A" w14:textId="77777777" w:rsidR="00F8523D" w:rsidRPr="004B0DA6" w:rsidRDefault="00F8523D" w:rsidP="00203597">
      <w:pPr>
        <w:spacing w:after="0"/>
        <w:jc w:val="both"/>
        <w:rPr>
          <w:rFonts w:ascii="Times New Roman" w:hAnsi="Times New Roman" w:cs="Times New Roman"/>
          <w:i/>
          <w:sz w:val="24"/>
        </w:rPr>
      </w:pPr>
    </w:p>
    <w:p w14:paraId="11163F12" w14:textId="2BA6E36A"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i/>
          <w:sz w:val="24"/>
        </w:rPr>
        <w:t>Refunds of Contributions</w:t>
      </w:r>
      <w:r w:rsidRPr="004B0DA6">
        <w:rPr>
          <w:rFonts w:ascii="Times New Roman" w:hAnsi="Times New Roman" w:cs="Times New Roman"/>
          <w:sz w:val="24"/>
        </w:rPr>
        <w:t xml:space="preserve"> – City employees who have terminated service as a contributing member of LGERS, may file an application for a refund of their contributions.  By state law, refunds to members with at least five years of service include 4% interest.  State law requires a 60day waiting period after service termination before the refund may be paid.  The acceptance of a refund payment cancels the individual’s right to employer contributions, or any other benefit provided by LGERS.</w:t>
      </w:r>
    </w:p>
    <w:p w14:paraId="1D7E48CB" w14:textId="77777777" w:rsidR="0056179C" w:rsidRPr="004B0DA6" w:rsidRDefault="0056179C" w:rsidP="00203597">
      <w:pPr>
        <w:spacing w:after="0"/>
        <w:jc w:val="both"/>
        <w:rPr>
          <w:rFonts w:ascii="Times New Roman" w:hAnsi="Times New Roman" w:cs="Times New Roman"/>
          <w:sz w:val="24"/>
        </w:rPr>
      </w:pPr>
    </w:p>
    <w:p w14:paraId="7D0C9757" w14:textId="6B82615E" w:rsidR="0056179C" w:rsidRPr="004B0DA6" w:rsidRDefault="0056179C" w:rsidP="00203597">
      <w:pPr>
        <w:keepNext/>
        <w:spacing w:after="0"/>
        <w:jc w:val="both"/>
        <w:rPr>
          <w:rFonts w:ascii="Times New Roman" w:hAnsi="Times New Roman" w:cs="Times New Roman"/>
          <w:b/>
          <w:i/>
          <w:sz w:val="24"/>
        </w:rPr>
      </w:pPr>
      <w:r w:rsidRPr="004B0DA6">
        <w:rPr>
          <w:rFonts w:ascii="Times New Roman" w:hAnsi="Times New Roman" w:cs="Times New Roman"/>
          <w:b/>
          <w:i/>
          <w:sz w:val="24"/>
        </w:rPr>
        <w:lastRenderedPageBreak/>
        <w:t>Pension Liabilities, Pension Expense, and Deferred Outflows of Resources and Deferred Inflows of Resources Related to Pensions</w:t>
      </w:r>
    </w:p>
    <w:p w14:paraId="752127CC" w14:textId="77777777" w:rsidR="00F8523D" w:rsidRPr="004B0DA6" w:rsidRDefault="00F8523D" w:rsidP="00203597">
      <w:pPr>
        <w:keepNext/>
        <w:spacing w:after="0"/>
        <w:jc w:val="both"/>
        <w:rPr>
          <w:rFonts w:ascii="Times New Roman" w:hAnsi="Times New Roman" w:cs="Times New Roman"/>
          <w:sz w:val="24"/>
        </w:rPr>
      </w:pPr>
    </w:p>
    <w:p w14:paraId="726C00EE" w14:textId="37CA4EF1" w:rsidR="0056179C" w:rsidRPr="004B0DA6" w:rsidRDefault="0056179C" w:rsidP="00203597">
      <w:pPr>
        <w:keepNext/>
        <w:spacing w:after="0"/>
        <w:jc w:val="both"/>
        <w:rPr>
          <w:rFonts w:ascii="Times New Roman" w:hAnsi="Times New Roman" w:cs="Times New Roman"/>
          <w:sz w:val="24"/>
        </w:rPr>
      </w:pPr>
      <w:r w:rsidRPr="004B0DA6">
        <w:rPr>
          <w:rFonts w:ascii="Times New Roman" w:hAnsi="Times New Roman" w:cs="Times New Roman"/>
          <w:sz w:val="24"/>
        </w:rPr>
        <w:t xml:space="preserve">At June 30, </w:t>
      </w:r>
      <w:r w:rsidR="00A85B23" w:rsidRPr="004B0DA6">
        <w:rPr>
          <w:rFonts w:ascii="Times New Roman" w:hAnsi="Times New Roman" w:cs="Times New Roman"/>
          <w:sz w:val="24"/>
        </w:rPr>
        <w:t>202</w:t>
      </w:r>
      <w:r w:rsidR="0013633E" w:rsidRPr="004B0DA6">
        <w:rPr>
          <w:rFonts w:ascii="Times New Roman" w:hAnsi="Times New Roman" w:cs="Times New Roman"/>
          <w:sz w:val="24"/>
        </w:rPr>
        <w:t>4</w:t>
      </w:r>
      <w:r w:rsidRPr="004B0DA6">
        <w:rPr>
          <w:rFonts w:ascii="Times New Roman" w:hAnsi="Times New Roman" w:cs="Times New Roman"/>
          <w:sz w:val="24"/>
        </w:rPr>
        <w:t xml:space="preserve">, the City reported a liability of $654,766 for its proportionate share of the net pension liability.  The net pension liability was measured as of June 30, </w:t>
      </w:r>
      <w:r w:rsidR="00677F89" w:rsidRPr="004B0DA6">
        <w:rPr>
          <w:rFonts w:ascii="Times New Roman" w:hAnsi="Times New Roman" w:cs="Times New Roman"/>
          <w:sz w:val="24"/>
        </w:rPr>
        <w:t>202</w:t>
      </w:r>
      <w:r w:rsidR="00420FD7" w:rsidRPr="004B0DA6">
        <w:rPr>
          <w:rFonts w:ascii="Times New Roman" w:hAnsi="Times New Roman" w:cs="Times New Roman"/>
          <w:sz w:val="24"/>
        </w:rPr>
        <w:t>3</w:t>
      </w:r>
      <w:r w:rsidRPr="004B0DA6">
        <w:rPr>
          <w:rFonts w:ascii="Times New Roman" w:hAnsi="Times New Roman" w:cs="Times New Roman"/>
          <w:sz w:val="24"/>
        </w:rPr>
        <w:t xml:space="preserve">.  The total pension liability used to calculate the net pension liability was determined by an actuarial valuation as of December 31, </w:t>
      </w:r>
      <w:r w:rsidR="00677F89" w:rsidRPr="004B0DA6">
        <w:rPr>
          <w:rFonts w:ascii="Times New Roman" w:hAnsi="Times New Roman" w:cs="Times New Roman"/>
          <w:sz w:val="24"/>
        </w:rPr>
        <w:t>202</w:t>
      </w:r>
      <w:r w:rsidR="00420FD7" w:rsidRPr="004B0DA6">
        <w:rPr>
          <w:rFonts w:ascii="Times New Roman" w:hAnsi="Times New Roman" w:cs="Times New Roman"/>
          <w:sz w:val="24"/>
        </w:rPr>
        <w:t>2</w:t>
      </w:r>
      <w:r w:rsidRPr="004B0DA6">
        <w:rPr>
          <w:rFonts w:ascii="Times New Roman" w:hAnsi="Times New Roman" w:cs="Times New Roman"/>
          <w:sz w:val="24"/>
        </w:rPr>
        <w:t xml:space="preserve">.  The total pension liability was then rolled forward to the measurement date of June 30, </w:t>
      </w:r>
      <w:r w:rsidR="00677F89" w:rsidRPr="004B0DA6">
        <w:rPr>
          <w:rFonts w:ascii="Times New Roman" w:hAnsi="Times New Roman" w:cs="Times New Roman"/>
          <w:sz w:val="24"/>
        </w:rPr>
        <w:t>202</w:t>
      </w:r>
      <w:r w:rsidR="00420FD7" w:rsidRPr="004B0DA6">
        <w:rPr>
          <w:rFonts w:ascii="Times New Roman" w:hAnsi="Times New Roman" w:cs="Times New Roman"/>
          <w:sz w:val="24"/>
        </w:rPr>
        <w:t>3</w:t>
      </w:r>
      <w:r w:rsidRPr="004B0DA6">
        <w:rPr>
          <w:rFonts w:ascii="Times New Roman" w:hAnsi="Times New Roman" w:cs="Times New Roman"/>
          <w:sz w:val="24"/>
        </w:rPr>
        <w:t>, utilizing update procedures incorporating the actuarial assumptions.  The City’s proportion of the net pension liability was based on a projection of the City’s long-term share of future payroll covered by the pension plan, relative to the projected future payroll covered by the pension plan of all participating LGERS employers, actuarially determined.  At June 30, 202</w:t>
      </w:r>
      <w:r w:rsidR="00AE68BF" w:rsidRPr="004B0DA6">
        <w:rPr>
          <w:rFonts w:ascii="Times New Roman" w:hAnsi="Times New Roman" w:cs="Times New Roman"/>
          <w:sz w:val="24"/>
        </w:rPr>
        <w:t>3</w:t>
      </w:r>
      <w:r w:rsidRPr="004B0DA6">
        <w:rPr>
          <w:rFonts w:ascii="Times New Roman" w:hAnsi="Times New Roman" w:cs="Times New Roman"/>
          <w:sz w:val="24"/>
        </w:rPr>
        <w:t xml:space="preserve"> (measurement date), the City’s proportion was 0.023%, which was a decrease of 0.003% from its proportion measured as of June 30, </w:t>
      </w:r>
      <w:r w:rsidR="00677F89" w:rsidRPr="004B0DA6">
        <w:rPr>
          <w:rFonts w:ascii="Times New Roman" w:hAnsi="Times New Roman" w:cs="Times New Roman"/>
          <w:sz w:val="24"/>
        </w:rPr>
        <w:t>202</w:t>
      </w:r>
      <w:r w:rsidR="00AE68BF" w:rsidRPr="004B0DA6">
        <w:rPr>
          <w:rFonts w:ascii="Times New Roman" w:hAnsi="Times New Roman" w:cs="Times New Roman"/>
          <w:sz w:val="24"/>
        </w:rPr>
        <w:t>2</w:t>
      </w:r>
      <w:r w:rsidRPr="004B0DA6">
        <w:rPr>
          <w:rFonts w:ascii="Times New Roman" w:hAnsi="Times New Roman" w:cs="Times New Roman"/>
          <w:sz w:val="24"/>
        </w:rPr>
        <w:t>.</w:t>
      </w:r>
    </w:p>
    <w:p w14:paraId="346C94DC" w14:textId="1892EE51"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xml:space="preserve">For the year ended June 30, </w:t>
      </w:r>
      <w:r w:rsidR="00A85B23" w:rsidRPr="004B0DA6">
        <w:rPr>
          <w:rFonts w:ascii="Times New Roman" w:hAnsi="Times New Roman" w:cs="Times New Roman"/>
          <w:sz w:val="24"/>
        </w:rPr>
        <w:t>202</w:t>
      </w:r>
      <w:r w:rsidR="0013633E" w:rsidRPr="004B0DA6">
        <w:rPr>
          <w:rFonts w:ascii="Times New Roman" w:hAnsi="Times New Roman" w:cs="Times New Roman"/>
          <w:sz w:val="24"/>
        </w:rPr>
        <w:t>4</w:t>
      </w:r>
      <w:r w:rsidRPr="004B0DA6">
        <w:rPr>
          <w:rFonts w:ascii="Times New Roman" w:hAnsi="Times New Roman" w:cs="Times New Roman"/>
          <w:sz w:val="24"/>
        </w:rPr>
        <w:t xml:space="preserve">, the City recognized pension expense of $190,762.  At June 30, </w:t>
      </w:r>
      <w:r w:rsidR="00A85B23" w:rsidRPr="004B0DA6">
        <w:rPr>
          <w:rFonts w:ascii="Times New Roman" w:hAnsi="Times New Roman" w:cs="Times New Roman"/>
          <w:sz w:val="24"/>
        </w:rPr>
        <w:t>202</w:t>
      </w:r>
      <w:r w:rsidR="0013633E" w:rsidRPr="004B0DA6">
        <w:rPr>
          <w:rFonts w:ascii="Times New Roman" w:hAnsi="Times New Roman" w:cs="Times New Roman"/>
          <w:sz w:val="24"/>
        </w:rPr>
        <w:t>4</w:t>
      </w:r>
      <w:r w:rsidRPr="004B0DA6">
        <w:rPr>
          <w:rFonts w:ascii="Times New Roman" w:hAnsi="Times New Roman" w:cs="Times New Roman"/>
          <w:sz w:val="24"/>
        </w:rPr>
        <w:t>, the City reported deferred outflows of resources and deferred inflows of resources related to pensions from the following sources:</w:t>
      </w:r>
    </w:p>
    <w:p w14:paraId="44979310" w14:textId="77777777" w:rsidR="0056179C" w:rsidRPr="004B0DA6" w:rsidRDefault="0056179C" w:rsidP="00203597">
      <w:pPr>
        <w:spacing w:after="0"/>
        <w:jc w:val="both"/>
        <w:rPr>
          <w:rFonts w:ascii="Times New Roman" w:hAnsi="Times New Roman" w:cs="Times New Roman"/>
          <w:sz w:val="24"/>
        </w:rPr>
      </w:pPr>
    </w:p>
    <w:bookmarkStart w:id="35" w:name="_MON_1486972904"/>
    <w:bookmarkEnd w:id="35"/>
    <w:p w14:paraId="05F1B02C" w14:textId="5EAB645B" w:rsidR="0056179C" w:rsidRPr="004B0DA6" w:rsidRDefault="002F6668" w:rsidP="00203597">
      <w:pPr>
        <w:spacing w:after="0"/>
        <w:jc w:val="both"/>
        <w:rPr>
          <w:rFonts w:ascii="Times New Roman" w:hAnsi="Times New Roman" w:cs="Times New Roman"/>
          <w:sz w:val="24"/>
        </w:rPr>
      </w:pPr>
      <w:r w:rsidRPr="004B0DA6">
        <w:rPr>
          <w:rFonts w:ascii="Times New Roman" w:hAnsi="Times New Roman" w:cs="Times New Roman"/>
          <w:sz w:val="24"/>
        </w:rPr>
        <w:object w:dxaOrig="8918" w:dyaOrig="3015" w14:anchorId="124D4964">
          <v:shape id="_x0000_i1032" type="#_x0000_t75" style="width:444pt;height:155.25pt" o:ole="">
            <v:imagedata r:id="rId37" o:title=""/>
          </v:shape>
          <o:OLEObject Type="Embed" ProgID="Excel.Sheet.8" ShapeID="_x0000_i1032" DrawAspect="Content" ObjectID="_1793012024" r:id="rId38"/>
        </w:object>
      </w:r>
    </w:p>
    <w:p w14:paraId="240035EB" w14:textId="77777777" w:rsidR="0056179C" w:rsidRPr="004B0DA6" w:rsidRDefault="0056179C" w:rsidP="00203597">
      <w:pPr>
        <w:spacing w:after="0"/>
        <w:jc w:val="both"/>
        <w:rPr>
          <w:rFonts w:ascii="Times New Roman" w:hAnsi="Times New Roman" w:cs="Times New Roman"/>
          <w:sz w:val="24"/>
        </w:rPr>
      </w:pPr>
    </w:p>
    <w:p w14:paraId="1098BE9E" w14:textId="57CD65A0" w:rsidR="0056179C" w:rsidRPr="004B0DA6" w:rsidRDefault="006E185E" w:rsidP="00203597">
      <w:pPr>
        <w:spacing w:after="0"/>
        <w:jc w:val="both"/>
        <w:rPr>
          <w:rFonts w:ascii="Times New Roman" w:hAnsi="Times New Roman" w:cs="Times New Roman"/>
          <w:sz w:val="24"/>
        </w:rPr>
      </w:pPr>
      <w:r w:rsidRPr="004B0DA6">
        <w:rPr>
          <w:rFonts w:ascii="Times New Roman" w:hAnsi="Times New Roman" w:cs="Times New Roman"/>
          <w:sz w:val="24"/>
        </w:rPr>
        <w:t xml:space="preserve">The </w:t>
      </w:r>
      <w:r w:rsidR="0056179C" w:rsidRPr="004B0DA6">
        <w:rPr>
          <w:rFonts w:ascii="Times New Roman" w:hAnsi="Times New Roman" w:cs="Times New Roman"/>
          <w:sz w:val="24"/>
        </w:rPr>
        <w:t xml:space="preserve">$155,000 reported as deferred outflows of resources related to pensions resulting from City contributions </w:t>
      </w:r>
      <w:proofErr w:type="gramStart"/>
      <w:r w:rsidR="0056179C" w:rsidRPr="004B0DA6">
        <w:rPr>
          <w:rFonts w:ascii="Times New Roman" w:hAnsi="Times New Roman" w:cs="Times New Roman"/>
          <w:sz w:val="24"/>
        </w:rPr>
        <w:t>subsequent to</w:t>
      </w:r>
      <w:proofErr w:type="gramEnd"/>
      <w:r w:rsidR="0056179C" w:rsidRPr="004B0DA6">
        <w:rPr>
          <w:rFonts w:ascii="Times New Roman" w:hAnsi="Times New Roman" w:cs="Times New Roman"/>
          <w:sz w:val="24"/>
        </w:rPr>
        <w:t xml:space="preserve"> the measurement date will be recognized as a decrease of the net pension liability in the year ended June 30, </w:t>
      </w:r>
      <w:r w:rsidR="00A85B23" w:rsidRPr="004B0DA6">
        <w:rPr>
          <w:rFonts w:ascii="Times New Roman" w:hAnsi="Times New Roman" w:cs="Times New Roman"/>
          <w:sz w:val="24"/>
        </w:rPr>
        <w:t>202</w:t>
      </w:r>
      <w:r w:rsidR="0013633E" w:rsidRPr="004B0DA6">
        <w:rPr>
          <w:rFonts w:ascii="Times New Roman" w:hAnsi="Times New Roman" w:cs="Times New Roman"/>
          <w:sz w:val="24"/>
        </w:rPr>
        <w:t>4</w:t>
      </w:r>
      <w:r w:rsidR="0056179C" w:rsidRPr="004B0DA6">
        <w:rPr>
          <w:rFonts w:ascii="Times New Roman" w:hAnsi="Times New Roman" w:cs="Times New Roman"/>
          <w:sz w:val="24"/>
        </w:rPr>
        <w:t>.  Other amounts reported as deferred inflows of resources related to pensions will be recognized in pension expense as follows:</w:t>
      </w:r>
    </w:p>
    <w:p w14:paraId="0F81A412" w14:textId="77777777" w:rsidR="00290709" w:rsidRPr="004B0DA6" w:rsidRDefault="00290709" w:rsidP="00203597">
      <w:pPr>
        <w:spacing w:after="0"/>
        <w:jc w:val="both"/>
        <w:rPr>
          <w:rFonts w:ascii="Times New Roman" w:hAnsi="Times New Roman" w:cs="Times New Roman"/>
          <w:sz w:val="24"/>
        </w:rPr>
      </w:pPr>
    </w:p>
    <w:bookmarkStart w:id="36" w:name="_MON_1487402010"/>
    <w:bookmarkEnd w:id="36"/>
    <w:p w14:paraId="6BB312BA" w14:textId="7B800600" w:rsidR="0056179C" w:rsidRPr="004B0DA6" w:rsidRDefault="00290709" w:rsidP="00203597">
      <w:pPr>
        <w:spacing w:after="0"/>
        <w:jc w:val="both"/>
        <w:rPr>
          <w:rFonts w:ascii="Times New Roman" w:hAnsi="Times New Roman" w:cs="Times New Roman"/>
          <w:sz w:val="24"/>
        </w:rPr>
      </w:pPr>
      <w:r w:rsidRPr="004B0DA6">
        <w:rPr>
          <w:rFonts w:ascii="Times New Roman" w:hAnsi="Times New Roman" w:cs="Times New Roman"/>
          <w:sz w:val="24"/>
        </w:rPr>
        <w:object w:dxaOrig="8493" w:dyaOrig="1941" w14:anchorId="3A052FB6">
          <v:shape id="_x0000_i1033" type="#_x0000_t75" style="width:426pt;height:97.5pt" o:ole="">
            <v:imagedata r:id="rId39" o:title=""/>
          </v:shape>
          <o:OLEObject Type="Embed" ProgID="Excel.Sheet.8" ShapeID="_x0000_i1033" DrawAspect="Content" ObjectID="_1793012025" r:id="rId40"/>
        </w:object>
      </w:r>
    </w:p>
    <w:p w14:paraId="4FE2522B" w14:textId="7DC0A0E9" w:rsidR="0056179C" w:rsidRPr="004B0DA6" w:rsidRDefault="0056179C" w:rsidP="00203597">
      <w:pPr>
        <w:keepNext/>
        <w:spacing w:after="0"/>
        <w:jc w:val="both"/>
        <w:rPr>
          <w:rFonts w:ascii="Times New Roman" w:hAnsi="Times New Roman" w:cs="Times New Roman"/>
          <w:sz w:val="24"/>
        </w:rPr>
      </w:pPr>
      <w:r w:rsidRPr="004B0DA6">
        <w:rPr>
          <w:rFonts w:ascii="Times New Roman" w:hAnsi="Times New Roman" w:cs="Times New Roman"/>
          <w:i/>
          <w:sz w:val="24"/>
        </w:rPr>
        <w:lastRenderedPageBreak/>
        <w:t>Actuarial Assumptions.</w:t>
      </w:r>
      <w:r w:rsidRPr="004B0DA6">
        <w:rPr>
          <w:rFonts w:ascii="Times New Roman" w:hAnsi="Times New Roman" w:cs="Times New Roman"/>
          <w:sz w:val="24"/>
        </w:rPr>
        <w:t xml:space="preserve">  The total pension liability in the December 31, </w:t>
      </w:r>
      <w:r w:rsidR="00D4577A" w:rsidRPr="004B0DA6">
        <w:rPr>
          <w:rFonts w:ascii="Times New Roman" w:hAnsi="Times New Roman" w:cs="Times New Roman"/>
          <w:sz w:val="24"/>
        </w:rPr>
        <w:t>202</w:t>
      </w:r>
      <w:r w:rsidR="00347A03" w:rsidRPr="004B0DA6">
        <w:rPr>
          <w:rFonts w:ascii="Times New Roman" w:hAnsi="Times New Roman" w:cs="Times New Roman"/>
          <w:sz w:val="24"/>
        </w:rPr>
        <w:t>3</w:t>
      </w:r>
      <w:r w:rsidRPr="004B0DA6">
        <w:rPr>
          <w:rFonts w:ascii="Times New Roman" w:hAnsi="Times New Roman" w:cs="Times New Roman"/>
          <w:sz w:val="24"/>
        </w:rPr>
        <w:t>, actuarial valuation was determined using the following actuarial assumptions, applied to all periods included in the measurement:</w:t>
      </w:r>
    </w:p>
    <w:p w14:paraId="38772B57" w14:textId="77777777" w:rsidR="0056179C" w:rsidRPr="004B0DA6" w:rsidRDefault="0056179C" w:rsidP="00203597">
      <w:pPr>
        <w:keepNext/>
        <w:spacing w:after="0"/>
        <w:jc w:val="both"/>
        <w:rPr>
          <w:rFonts w:ascii="Times New Roman" w:hAnsi="Times New Roman" w:cs="Times New Roman"/>
          <w:sz w:val="24"/>
        </w:rPr>
      </w:pPr>
    </w:p>
    <w:bookmarkStart w:id="37" w:name="_MON_1487403049"/>
    <w:bookmarkEnd w:id="37"/>
    <w:p w14:paraId="4EC67BC6" w14:textId="75D5C2EC" w:rsidR="0056179C" w:rsidRPr="004B0DA6" w:rsidRDefault="002F6668" w:rsidP="00203597">
      <w:pPr>
        <w:keepNext/>
        <w:spacing w:after="0"/>
        <w:jc w:val="both"/>
        <w:rPr>
          <w:rFonts w:ascii="Times New Roman" w:hAnsi="Times New Roman" w:cs="Times New Roman"/>
          <w:sz w:val="24"/>
        </w:rPr>
      </w:pPr>
      <w:r w:rsidRPr="004B0DA6">
        <w:rPr>
          <w:rFonts w:ascii="Times New Roman" w:hAnsi="Times New Roman" w:cs="Times New Roman"/>
          <w:sz w:val="24"/>
        </w:rPr>
        <w:object w:dxaOrig="8323" w:dyaOrig="1469" w14:anchorId="74041D4D">
          <v:shape id="_x0000_i1034" type="#_x0000_t75" style="width:416.25pt;height:73.5pt" o:ole="">
            <v:imagedata r:id="rId41" o:title=""/>
          </v:shape>
          <o:OLEObject Type="Embed" ProgID="Excel.Sheet.8" ShapeID="_x0000_i1034" DrawAspect="Content" ObjectID="_1793012026" r:id="rId42"/>
        </w:object>
      </w:r>
    </w:p>
    <w:p w14:paraId="2F874C99" w14:textId="77777777" w:rsidR="0056179C" w:rsidRPr="004B0DA6" w:rsidRDefault="0056179C" w:rsidP="00203597">
      <w:pPr>
        <w:spacing w:after="0"/>
        <w:jc w:val="both"/>
        <w:rPr>
          <w:rFonts w:ascii="Times New Roman" w:hAnsi="Times New Roman" w:cs="Times New Roman"/>
          <w:sz w:val="24"/>
        </w:rPr>
      </w:pPr>
    </w:p>
    <w:p w14:paraId="2C64F5C8" w14:textId="61E9F929"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xml:space="preserve">The plan currently uses mortality tables that vary by age, gender, employee group (i.e., general, law enforcement officer) and health status (i.e., </w:t>
      </w:r>
      <w:r w:rsidR="00BF6A8C" w:rsidRPr="004B0DA6">
        <w:rPr>
          <w:rFonts w:ascii="Times New Roman" w:hAnsi="Times New Roman" w:cs="Times New Roman"/>
          <w:sz w:val="24"/>
        </w:rPr>
        <w:t>disabled,</w:t>
      </w:r>
      <w:r w:rsidRPr="004B0DA6">
        <w:rPr>
          <w:rFonts w:ascii="Times New Roman" w:hAnsi="Times New Roman" w:cs="Times New Roman"/>
          <w:sz w:val="24"/>
        </w:rPr>
        <w:t xml:space="preserve"> and healthy).  The current mortality rates are based on published tables and based on studies that cover significant portions of the U.S. population.  The healthy mortality rates also contain a provision to reflect future mortality improvements.</w:t>
      </w:r>
    </w:p>
    <w:p w14:paraId="02E00DBF" w14:textId="68089719"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xml:space="preserve">The actuarial assumptions used in the December 31, </w:t>
      </w:r>
      <w:r w:rsidR="00D4577A" w:rsidRPr="004B0DA6">
        <w:rPr>
          <w:rFonts w:ascii="Times New Roman" w:hAnsi="Times New Roman" w:cs="Times New Roman"/>
          <w:sz w:val="24"/>
        </w:rPr>
        <w:t>202</w:t>
      </w:r>
      <w:r w:rsidR="00AE68BF" w:rsidRPr="004B0DA6">
        <w:rPr>
          <w:rFonts w:ascii="Times New Roman" w:hAnsi="Times New Roman" w:cs="Times New Roman"/>
          <w:sz w:val="24"/>
        </w:rPr>
        <w:t>2</w:t>
      </w:r>
      <w:r w:rsidRPr="004B0DA6">
        <w:rPr>
          <w:rFonts w:ascii="Times New Roman" w:hAnsi="Times New Roman" w:cs="Times New Roman"/>
          <w:sz w:val="24"/>
        </w:rPr>
        <w:t xml:space="preserve">, valuation </w:t>
      </w:r>
      <w:r w:rsidR="0062064C" w:rsidRPr="004B0DA6">
        <w:rPr>
          <w:rFonts w:ascii="Times New Roman" w:hAnsi="Times New Roman" w:cs="Times New Roman"/>
          <w:sz w:val="24"/>
        </w:rPr>
        <w:t>was</w:t>
      </w:r>
      <w:r w:rsidRPr="004B0DA6">
        <w:rPr>
          <w:rFonts w:ascii="Times New Roman" w:hAnsi="Times New Roman" w:cs="Times New Roman"/>
          <w:sz w:val="24"/>
        </w:rPr>
        <w:t xml:space="preserve"> based on the results of an actuarial experience study for the period January 1, 201</w:t>
      </w:r>
      <w:r w:rsidR="00DF291C" w:rsidRPr="004B0DA6">
        <w:rPr>
          <w:rFonts w:ascii="Times New Roman" w:hAnsi="Times New Roman" w:cs="Times New Roman"/>
          <w:sz w:val="24"/>
        </w:rPr>
        <w:t>1</w:t>
      </w:r>
      <w:r w:rsidRPr="004B0DA6">
        <w:rPr>
          <w:rFonts w:ascii="Times New Roman" w:hAnsi="Times New Roman" w:cs="Times New Roman"/>
          <w:sz w:val="24"/>
        </w:rPr>
        <w:t>, through December 31, 201</w:t>
      </w:r>
      <w:r w:rsidR="00DF291C" w:rsidRPr="004B0DA6">
        <w:rPr>
          <w:rFonts w:ascii="Times New Roman" w:hAnsi="Times New Roman" w:cs="Times New Roman"/>
          <w:sz w:val="24"/>
        </w:rPr>
        <w:t>5</w:t>
      </w:r>
      <w:r w:rsidRPr="004B0DA6">
        <w:rPr>
          <w:rFonts w:ascii="Times New Roman" w:hAnsi="Times New Roman" w:cs="Times New Roman"/>
          <w:sz w:val="24"/>
        </w:rPr>
        <w:t>.</w:t>
      </w:r>
    </w:p>
    <w:p w14:paraId="785340CE" w14:textId="68BBF803"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Future ad hoc COLA amounts are not considered to be substantively automatic and are therefore not included in the measurement.</w:t>
      </w:r>
    </w:p>
    <w:p w14:paraId="1F659F9E" w14:textId="77777777" w:rsidR="004419FA" w:rsidRPr="004B0DA6" w:rsidRDefault="004419FA" w:rsidP="00203597">
      <w:pPr>
        <w:spacing w:after="0"/>
        <w:jc w:val="both"/>
        <w:rPr>
          <w:rFonts w:ascii="Times New Roman" w:hAnsi="Times New Roman" w:cs="Times New Roman"/>
          <w:sz w:val="24"/>
        </w:rPr>
      </w:pPr>
    </w:p>
    <w:p w14:paraId="2CEA087D" w14:textId="2C9987EE" w:rsidR="0056179C" w:rsidRPr="004B0DA6" w:rsidRDefault="0056179C" w:rsidP="00203597">
      <w:pPr>
        <w:spacing w:after="0"/>
        <w:jc w:val="both"/>
        <w:rPr>
          <w:rFonts w:ascii="Times New Roman" w:hAnsi="Times New Roman" w:cs="Times New Roman"/>
          <w:sz w:val="24"/>
        </w:rPr>
      </w:pPr>
      <w:bookmarkStart w:id="38" w:name="_Hlk180416437"/>
      <w:r w:rsidRPr="004B0DA6">
        <w:rPr>
          <w:rFonts w:ascii="Times New Roman" w:hAnsi="Times New Roman" w:cs="Times New Roman"/>
          <w:sz w:val="24"/>
        </w:rPr>
        <w:t xml:space="preserve">The projected long-term investment returns, and inflation assumptions are developed through review of current and historical capital markets data, sell-side investment research, consultant whitepapers, and historical performance of investment strategies.  Fixed income </w:t>
      </w:r>
      <w:proofErr w:type="gramStart"/>
      <w:r w:rsidRPr="004B0DA6">
        <w:rPr>
          <w:rFonts w:ascii="Times New Roman" w:hAnsi="Times New Roman" w:cs="Times New Roman"/>
          <w:sz w:val="24"/>
        </w:rPr>
        <w:t>return</w:t>
      </w:r>
      <w:proofErr w:type="gramEnd"/>
      <w:r w:rsidRPr="004B0DA6">
        <w:rPr>
          <w:rFonts w:ascii="Times New Roman" w:hAnsi="Times New Roman" w:cs="Times New Roman"/>
          <w:sz w:val="24"/>
        </w:rPr>
        <w:t xml:space="preserve"> projections reflect current yields across the U.S. Treasury yield curve and market expectations of forward yields projected and interpolated for multiple tenors and over multiple year horizons.  Global public equity return projections are established through analysis of the equity risk premium and the fixed income return projections.  Other asset categories and strategies’ return projections reflect the foregoing and historical data analysis.  These projections are combined to produce the long-term expected rate of return by weighting the expected future real rates of return by the target asset allocation percentage and by adding expected inflation.  </w:t>
      </w:r>
      <w:bookmarkStart w:id="39" w:name="_Hlk77251524"/>
      <w:r w:rsidRPr="004B0DA6">
        <w:rPr>
          <w:rFonts w:ascii="Times New Roman" w:hAnsi="Times New Roman" w:cs="Times New Roman"/>
          <w:sz w:val="24"/>
        </w:rPr>
        <w:t>The target allocation and best estimates of arithmetic real rates of return for each major asset class as of June 30, 202</w:t>
      </w:r>
      <w:r w:rsidR="00BB2F75" w:rsidRPr="004B0DA6">
        <w:rPr>
          <w:rFonts w:ascii="Times New Roman" w:hAnsi="Times New Roman" w:cs="Times New Roman"/>
          <w:sz w:val="24"/>
        </w:rPr>
        <w:t>4</w:t>
      </w:r>
      <w:r w:rsidRPr="004B0DA6">
        <w:rPr>
          <w:rFonts w:ascii="Times New Roman" w:hAnsi="Times New Roman" w:cs="Times New Roman"/>
          <w:sz w:val="24"/>
        </w:rPr>
        <w:t>, are summarized in the following table:</w:t>
      </w:r>
    </w:p>
    <w:p w14:paraId="29545B62" w14:textId="77777777" w:rsidR="0056179C" w:rsidRPr="004B0DA6" w:rsidRDefault="0056179C" w:rsidP="00203597">
      <w:pPr>
        <w:spacing w:after="0"/>
        <w:jc w:val="both"/>
        <w:rPr>
          <w:rFonts w:ascii="Times New Roman" w:hAnsi="Times New Roman" w:cs="Times New Roman"/>
          <w:sz w:val="24"/>
        </w:rPr>
      </w:pPr>
    </w:p>
    <w:p w14:paraId="24428C61" w14:textId="69AB49EB" w:rsidR="0056179C" w:rsidRPr="004B0DA6" w:rsidRDefault="0056179C" w:rsidP="00203597">
      <w:pPr>
        <w:spacing w:after="0"/>
        <w:jc w:val="both"/>
        <w:rPr>
          <w:rFonts w:ascii="Times New Roman" w:hAnsi="Times New Roman" w:cs="Times New Roman"/>
          <w:sz w:val="24"/>
        </w:rPr>
      </w:pPr>
    </w:p>
    <w:p w14:paraId="4379A445" w14:textId="77777777" w:rsidR="0057419E" w:rsidRPr="004B0DA6" w:rsidRDefault="0057419E" w:rsidP="00203597">
      <w:pPr>
        <w:spacing w:after="0"/>
        <w:jc w:val="both"/>
        <w:rPr>
          <w:rFonts w:ascii="Times New Roman" w:hAnsi="Times New Roman" w:cs="Times New Roman"/>
          <w:sz w:val="24"/>
        </w:rPr>
      </w:pPr>
    </w:p>
    <w:p w14:paraId="4B353938" w14:textId="77777777" w:rsidR="0057419E" w:rsidRPr="004B0DA6" w:rsidRDefault="0057419E" w:rsidP="00203597">
      <w:pPr>
        <w:spacing w:after="0"/>
        <w:jc w:val="both"/>
        <w:rPr>
          <w:rFonts w:ascii="Times New Roman" w:hAnsi="Times New Roman" w:cs="Times New Roman"/>
          <w:sz w:val="24"/>
        </w:rPr>
      </w:pPr>
    </w:p>
    <w:p w14:paraId="28102D8C" w14:textId="21B76588" w:rsidR="0056179C" w:rsidRPr="004B0DA6" w:rsidRDefault="0056179C" w:rsidP="00203597">
      <w:pPr>
        <w:spacing w:after="0"/>
        <w:jc w:val="both"/>
        <w:rPr>
          <w:rFonts w:ascii="Times New Roman" w:hAnsi="Times New Roman" w:cs="Times New Roman"/>
          <w:sz w:val="24"/>
        </w:rPr>
      </w:pPr>
    </w:p>
    <w:p w14:paraId="70B70D29" w14:textId="119D5E83" w:rsidR="0056179C" w:rsidRPr="004B0DA6" w:rsidRDefault="0057419E" w:rsidP="00203597">
      <w:pPr>
        <w:spacing w:after="0"/>
        <w:jc w:val="both"/>
        <w:rPr>
          <w:rFonts w:ascii="Times New Roman" w:hAnsi="Times New Roman" w:cs="Times New Roman"/>
          <w:sz w:val="24"/>
        </w:rPr>
      </w:pPr>
      <w:r w:rsidRPr="004B0DA6" w:rsidDel="00633EBD">
        <w:rPr>
          <w:rFonts w:ascii="Times New Roman" w:hAnsi="Times New Roman" w:cs="Times New Roman"/>
        </w:rPr>
        <w:lastRenderedPageBreak/>
        <w:t xml:space="preserve"> </w:t>
      </w:r>
      <w:r w:rsidR="00D9568D" w:rsidRPr="004B0DA6">
        <w:rPr>
          <w:rFonts w:ascii="Times New Roman" w:hAnsi="Times New Roman" w:cs="Times New Roman"/>
          <w:noProof/>
        </w:rPr>
        <w:drawing>
          <wp:inline distT="0" distB="0" distL="0" distR="0" wp14:anchorId="3D0944C9" wp14:editId="29DC4BDB">
            <wp:extent cx="4924425" cy="1857375"/>
            <wp:effectExtent l="0" t="0" r="9525" b="9525"/>
            <wp:docPr id="13156725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924425" cy="1857375"/>
                    </a:xfrm>
                    <a:prstGeom prst="rect">
                      <a:avLst/>
                    </a:prstGeom>
                    <a:noFill/>
                    <a:ln>
                      <a:noFill/>
                    </a:ln>
                  </pic:spPr>
                </pic:pic>
              </a:graphicData>
            </a:graphic>
          </wp:inline>
        </w:drawing>
      </w:r>
      <w:r w:rsidR="00D9568D" w:rsidRPr="004B0DA6" w:rsidDel="00633EBD">
        <w:rPr>
          <w:rFonts w:ascii="Times New Roman" w:hAnsi="Times New Roman" w:cs="Times New Roman"/>
        </w:rPr>
        <w:t xml:space="preserve"> </w:t>
      </w:r>
      <w:bookmarkEnd w:id="39"/>
    </w:p>
    <w:p w14:paraId="792D3625" w14:textId="77777777" w:rsidR="00633EBD" w:rsidRPr="004B0DA6" w:rsidRDefault="00633EBD" w:rsidP="00203597">
      <w:pPr>
        <w:spacing w:after="0"/>
        <w:jc w:val="both"/>
        <w:rPr>
          <w:rFonts w:ascii="Times New Roman" w:hAnsi="Times New Roman" w:cs="Times New Roman"/>
          <w:sz w:val="24"/>
        </w:rPr>
      </w:pPr>
    </w:p>
    <w:p w14:paraId="34B42E75" w14:textId="0EC55BFE" w:rsidR="00633EBD" w:rsidRPr="004B0DA6" w:rsidRDefault="00633EBD" w:rsidP="00633EBD">
      <w:pPr>
        <w:pStyle w:val="BodyText"/>
        <w:spacing w:before="101"/>
        <w:jc w:val="both"/>
        <w:rPr>
          <w:rFonts w:ascii="Times New Roman" w:hAnsi="Times New Roman" w:cs="Times New Roman"/>
        </w:rPr>
      </w:pPr>
      <w:r w:rsidRPr="004B0DA6">
        <w:rPr>
          <w:rFonts w:ascii="Times New Roman" w:hAnsi="Times New Roman" w:cs="Times New Roman"/>
          <w:highlight w:val="yellow"/>
        </w:rPr>
        <w:t>The information above is based on 30-year expectations developed with an investment consulting firm’s 2024 long term capital market assumptions. The</w:t>
      </w:r>
      <w:r w:rsidRPr="004B0DA6">
        <w:rPr>
          <w:rFonts w:ascii="Times New Roman" w:hAnsi="Times New Roman" w:cs="Times New Roman"/>
          <w:spacing w:val="-2"/>
          <w:highlight w:val="yellow"/>
        </w:rPr>
        <w:t xml:space="preserve"> </w:t>
      </w:r>
      <w:r w:rsidRPr="004B0DA6">
        <w:rPr>
          <w:rFonts w:ascii="Times New Roman" w:hAnsi="Times New Roman" w:cs="Times New Roman"/>
          <w:highlight w:val="yellow"/>
        </w:rPr>
        <w:t>long-term nominal</w:t>
      </w:r>
      <w:r w:rsidRPr="004B0DA6">
        <w:rPr>
          <w:rFonts w:ascii="Times New Roman" w:hAnsi="Times New Roman" w:cs="Times New Roman"/>
          <w:spacing w:val="-5"/>
          <w:highlight w:val="yellow"/>
        </w:rPr>
        <w:t xml:space="preserve"> </w:t>
      </w:r>
      <w:r w:rsidRPr="004B0DA6">
        <w:rPr>
          <w:rFonts w:ascii="Times New Roman" w:hAnsi="Times New Roman" w:cs="Times New Roman"/>
          <w:highlight w:val="yellow"/>
        </w:rPr>
        <w:t>rates</w:t>
      </w:r>
      <w:r w:rsidRPr="004B0DA6">
        <w:rPr>
          <w:rFonts w:ascii="Times New Roman" w:hAnsi="Times New Roman" w:cs="Times New Roman"/>
          <w:spacing w:val="-4"/>
          <w:highlight w:val="yellow"/>
        </w:rPr>
        <w:t xml:space="preserve"> </w:t>
      </w:r>
      <w:r w:rsidRPr="004B0DA6">
        <w:rPr>
          <w:rFonts w:ascii="Times New Roman" w:hAnsi="Times New Roman" w:cs="Times New Roman"/>
          <w:highlight w:val="yellow"/>
        </w:rPr>
        <w:t>of</w:t>
      </w:r>
      <w:r w:rsidRPr="004B0DA6">
        <w:rPr>
          <w:rFonts w:ascii="Times New Roman" w:hAnsi="Times New Roman" w:cs="Times New Roman"/>
          <w:spacing w:val="-1"/>
          <w:highlight w:val="yellow"/>
        </w:rPr>
        <w:t xml:space="preserve"> </w:t>
      </w:r>
      <w:r w:rsidRPr="004B0DA6">
        <w:rPr>
          <w:rFonts w:ascii="Times New Roman" w:hAnsi="Times New Roman" w:cs="Times New Roman"/>
          <w:highlight w:val="yellow"/>
        </w:rPr>
        <w:t>return</w:t>
      </w:r>
      <w:r w:rsidRPr="004B0DA6">
        <w:rPr>
          <w:rFonts w:ascii="Times New Roman" w:hAnsi="Times New Roman" w:cs="Times New Roman"/>
          <w:spacing w:val="-3"/>
          <w:highlight w:val="yellow"/>
        </w:rPr>
        <w:t xml:space="preserve"> </w:t>
      </w:r>
      <w:r w:rsidRPr="004B0DA6">
        <w:rPr>
          <w:rFonts w:ascii="Times New Roman" w:hAnsi="Times New Roman" w:cs="Times New Roman"/>
          <w:highlight w:val="yellow"/>
        </w:rPr>
        <w:t>underlying the real rates of return are arithmetic annualized figures.</w:t>
      </w:r>
      <w:r w:rsidRPr="004B0DA6">
        <w:rPr>
          <w:rFonts w:ascii="Times New Roman" w:hAnsi="Times New Roman" w:cs="Times New Roman"/>
          <w:spacing w:val="40"/>
          <w:highlight w:val="yellow"/>
        </w:rPr>
        <w:t xml:space="preserve"> </w:t>
      </w:r>
      <w:r w:rsidRPr="004B0DA6">
        <w:rPr>
          <w:rFonts w:ascii="Times New Roman" w:hAnsi="Times New Roman" w:cs="Times New Roman"/>
          <w:highlight w:val="yellow"/>
        </w:rPr>
        <w:t>The real rates of return are calculated from nominal rates by multiplicatively subtracting a long-term inflation assumption of 2.38%.</w:t>
      </w:r>
      <w:r w:rsidRPr="004B0DA6">
        <w:rPr>
          <w:rFonts w:ascii="Times New Roman" w:hAnsi="Times New Roman" w:cs="Times New Roman"/>
          <w:spacing w:val="40"/>
          <w:highlight w:val="yellow"/>
        </w:rPr>
        <w:t xml:space="preserve"> </w:t>
      </w:r>
      <w:r w:rsidRPr="004B0DA6">
        <w:rPr>
          <w:rFonts w:ascii="Times New Roman" w:hAnsi="Times New Roman" w:cs="Times New Roman"/>
          <w:highlight w:val="yellow"/>
        </w:rPr>
        <w:t>All rates of return and inflation are annualized figures. Source data provided in the</w:t>
      </w:r>
      <w:r w:rsidR="00AE68BF" w:rsidRPr="004B0DA6">
        <w:rPr>
          <w:rFonts w:ascii="Times New Roman" w:hAnsi="Times New Roman" w:cs="Times New Roman"/>
          <w:highlight w:val="yellow"/>
        </w:rPr>
        <w:t xml:space="preserve"> 2023</w:t>
      </w:r>
      <w:r w:rsidRPr="004B0DA6">
        <w:rPr>
          <w:rFonts w:ascii="Times New Roman" w:hAnsi="Times New Roman" w:cs="Times New Roman"/>
          <w:highlight w:val="yellow"/>
        </w:rPr>
        <w:t xml:space="preserve"> Annual Comprehensive Financial Report published on website of the </w:t>
      </w:r>
      <w:hyperlink r:id="rId44" w:history="1">
        <w:r w:rsidRPr="004B0DA6">
          <w:rPr>
            <w:rStyle w:val="Hyperlink"/>
            <w:rFonts w:ascii="Times New Roman" w:hAnsi="Times New Roman" w:cs="Times New Roman"/>
            <w:highlight w:val="yellow"/>
          </w:rPr>
          <w:t>NC Office of State Controller</w:t>
        </w:r>
      </w:hyperlink>
      <w:r w:rsidRPr="004B0DA6">
        <w:rPr>
          <w:rFonts w:ascii="Times New Roman" w:hAnsi="Times New Roman" w:cs="Times New Roman"/>
          <w:highlight w:val="yellow"/>
        </w:rPr>
        <w:t>.</w:t>
      </w:r>
      <w:r w:rsidRPr="004B0DA6">
        <w:rPr>
          <w:rFonts w:ascii="Times New Roman" w:hAnsi="Times New Roman" w:cs="Times New Roman"/>
        </w:rPr>
        <w:t xml:space="preserve">     </w:t>
      </w:r>
      <w:bookmarkEnd w:id="38"/>
    </w:p>
    <w:p w14:paraId="7F352407" w14:textId="77777777" w:rsidR="00633EBD" w:rsidRPr="004B0DA6" w:rsidRDefault="00633EBD" w:rsidP="00203597">
      <w:pPr>
        <w:spacing w:after="0"/>
        <w:jc w:val="both"/>
        <w:rPr>
          <w:rFonts w:ascii="Times New Roman" w:hAnsi="Times New Roman" w:cs="Times New Roman"/>
          <w:sz w:val="24"/>
        </w:rPr>
      </w:pPr>
    </w:p>
    <w:p w14:paraId="798B6D54" w14:textId="77777777" w:rsidR="00F8523D" w:rsidRPr="004B0DA6" w:rsidRDefault="00F8523D" w:rsidP="00203597">
      <w:pPr>
        <w:spacing w:after="0"/>
        <w:jc w:val="both"/>
        <w:rPr>
          <w:rFonts w:ascii="Times New Roman" w:hAnsi="Times New Roman" w:cs="Times New Roman"/>
          <w:i/>
          <w:sz w:val="24"/>
        </w:rPr>
      </w:pPr>
    </w:p>
    <w:p w14:paraId="1C73FDD5" w14:textId="1400B0CD"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i/>
          <w:sz w:val="24"/>
        </w:rPr>
        <w:t>Discount rate.</w:t>
      </w:r>
      <w:r w:rsidRPr="004B0DA6">
        <w:rPr>
          <w:rFonts w:ascii="Times New Roman" w:hAnsi="Times New Roman" w:cs="Times New Roman"/>
          <w:sz w:val="24"/>
        </w:rPr>
        <w:t xml:space="preserve">  The discount rate used to measure the total pension liability was 7.00%.  The projection of cash flows used to determine the discount rate assumed that contributions from plan members will be made at the current contribution rate and that contributions from employers will be made at statutorily required rates, actuarially determined.  Based on these assumptions, the pension plan’s fiduciary net position was projected to be available to make all projected future benefit payments of the current plan members.  Therefore, the long-term expected rate of return on pension plan investments was applied to all periods of projected benefit payments to determine the total pension liability.</w:t>
      </w:r>
    </w:p>
    <w:p w14:paraId="703F1C73" w14:textId="77777777" w:rsidR="00F8523D" w:rsidRPr="004B0DA6" w:rsidRDefault="00F8523D" w:rsidP="00203597">
      <w:pPr>
        <w:spacing w:after="0"/>
        <w:jc w:val="both"/>
        <w:rPr>
          <w:rFonts w:ascii="Times New Roman" w:hAnsi="Times New Roman" w:cs="Times New Roman"/>
          <w:i/>
          <w:sz w:val="24"/>
        </w:rPr>
      </w:pPr>
    </w:p>
    <w:p w14:paraId="59A2A0D6" w14:textId="74EE2CF1"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i/>
          <w:sz w:val="24"/>
        </w:rPr>
        <w:t>Sensitivity of the City’s proportionate share of the net pension liability to changes in the discount rate</w:t>
      </w:r>
      <w:r w:rsidRPr="004B0DA6">
        <w:rPr>
          <w:rFonts w:ascii="Times New Roman" w:hAnsi="Times New Roman" w:cs="Times New Roman"/>
          <w:sz w:val="24"/>
        </w:rPr>
        <w:t>.  The following presents the City’s proportionate share of the net pension liability calculated using the discount rate of 7.00 percent, as well as what the City’s proportionate share of the net pension asset or net pension liability would be if it were calculated using a discount rate that is one percentage point lower (6.00 percent) or one percentage point higher (8.00 percent) than the current rate:</w:t>
      </w:r>
    </w:p>
    <w:bookmarkStart w:id="40" w:name="_MON_1487413421"/>
    <w:bookmarkEnd w:id="40"/>
    <w:p w14:paraId="4F011672" w14:textId="77777777"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object w:dxaOrig="8378" w:dyaOrig="1437" w14:anchorId="570CE5E9">
          <v:shape id="_x0000_i1035" type="#_x0000_t75" style="width:420.75pt;height:1in" o:ole="">
            <v:imagedata r:id="rId45" o:title=""/>
          </v:shape>
          <o:OLEObject Type="Embed" ProgID="Excel.Sheet.8" ShapeID="_x0000_i1035" DrawAspect="Content" ObjectID="_1793012027" r:id="rId46"/>
        </w:object>
      </w:r>
    </w:p>
    <w:p w14:paraId="77C6F20C" w14:textId="77777777" w:rsidR="0056179C" w:rsidRPr="004B0DA6" w:rsidRDefault="0056179C" w:rsidP="00203597">
      <w:pPr>
        <w:spacing w:after="0"/>
        <w:jc w:val="both"/>
        <w:rPr>
          <w:rFonts w:ascii="Times New Roman" w:hAnsi="Times New Roman" w:cs="Times New Roman"/>
          <w:i/>
          <w:sz w:val="24"/>
        </w:rPr>
      </w:pPr>
    </w:p>
    <w:p w14:paraId="2640A003" w14:textId="52129CC0"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i/>
          <w:sz w:val="24"/>
        </w:rPr>
        <w:t>Pension plan fiduciary net position.</w:t>
      </w:r>
      <w:r w:rsidRPr="004B0DA6">
        <w:rPr>
          <w:rFonts w:ascii="Times New Roman" w:hAnsi="Times New Roman" w:cs="Times New Roman"/>
          <w:sz w:val="24"/>
        </w:rPr>
        <w:t xml:space="preserve">  Detailed information about the pension plan’s fiduciary net position is available in the separately issued </w:t>
      </w:r>
      <w:r w:rsidR="00ED3106" w:rsidRPr="004B0DA6">
        <w:rPr>
          <w:rFonts w:ascii="Times New Roman" w:hAnsi="Times New Roman" w:cs="Times New Roman"/>
          <w:sz w:val="24"/>
        </w:rPr>
        <w:t>Annual Comprehensive Financial Report</w:t>
      </w:r>
      <w:r w:rsidR="0004624E" w:rsidRPr="004B0DA6">
        <w:rPr>
          <w:rFonts w:ascii="Times New Roman" w:hAnsi="Times New Roman" w:cs="Times New Roman"/>
          <w:sz w:val="24"/>
        </w:rPr>
        <w:t xml:space="preserve"> </w:t>
      </w:r>
      <w:r w:rsidRPr="004B0DA6">
        <w:rPr>
          <w:rFonts w:ascii="Times New Roman" w:hAnsi="Times New Roman" w:cs="Times New Roman"/>
          <w:sz w:val="24"/>
        </w:rPr>
        <w:t>for the State of North Carolina.</w:t>
      </w:r>
    </w:p>
    <w:p w14:paraId="02177298" w14:textId="77777777" w:rsidR="0056179C" w:rsidRPr="004B0DA6" w:rsidRDefault="0056179C" w:rsidP="00203597">
      <w:pPr>
        <w:spacing w:after="0"/>
        <w:jc w:val="both"/>
        <w:rPr>
          <w:rFonts w:ascii="Times New Roman" w:hAnsi="Times New Roman" w:cs="Times New Roman"/>
          <w:sz w:val="24"/>
        </w:rPr>
      </w:pPr>
    </w:p>
    <w:p w14:paraId="3A18B09A" w14:textId="7E9F156D" w:rsidR="0056179C" w:rsidRPr="004B0DA6" w:rsidRDefault="0056179C" w:rsidP="00F8523D">
      <w:pPr>
        <w:pStyle w:val="ListParagraph"/>
        <w:numPr>
          <w:ilvl w:val="0"/>
          <w:numId w:val="29"/>
        </w:numPr>
        <w:rPr>
          <w:u w:val="single"/>
        </w:rPr>
      </w:pPr>
      <w:r w:rsidRPr="004B0DA6">
        <w:rPr>
          <w:u w:val="single"/>
        </w:rPr>
        <w:lastRenderedPageBreak/>
        <w:t>Law Enforcement Officers Special Separation Allowance</w:t>
      </w:r>
    </w:p>
    <w:p w14:paraId="0B4C066C" w14:textId="77777777" w:rsidR="00F8523D" w:rsidRPr="004B0DA6" w:rsidRDefault="00F8523D" w:rsidP="00F8523D">
      <w:pPr>
        <w:pStyle w:val="ListParagraph"/>
      </w:pPr>
    </w:p>
    <w:p w14:paraId="603BD338" w14:textId="77777777" w:rsidR="0056179C" w:rsidRPr="004B0DA6" w:rsidRDefault="0056179C" w:rsidP="00203597">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bCs/>
          <w:sz w:val="24"/>
          <w:szCs w:val="24"/>
        </w:rPr>
      </w:pPr>
      <w:r w:rsidRPr="004B0DA6">
        <w:rPr>
          <w:rFonts w:ascii="Times New Roman" w:hAnsi="Times New Roman" w:cs="Times New Roman"/>
          <w:b/>
          <w:bCs/>
          <w:sz w:val="24"/>
          <w:szCs w:val="24"/>
        </w:rPr>
        <w:t xml:space="preserve">Note to preparer:  </w:t>
      </w:r>
      <w:r w:rsidRPr="004B0DA6">
        <w:rPr>
          <w:rFonts w:ascii="Times New Roman" w:hAnsi="Times New Roman" w:cs="Times New Roman"/>
          <w:bCs/>
          <w:sz w:val="24"/>
          <w:szCs w:val="24"/>
        </w:rPr>
        <w:t>Notes for the Law Enforcement Officers’ Special Separation Allowance should be based on data specific to your unit.  Assumptions, measurement dates, and other information requiring disclosure will not be uniform across all units in the state.  Please refer to your actuarial valuation report for specifics for your LEOSSA note and to GASB Statement No. 73 for specific disclosure requirements.</w:t>
      </w:r>
    </w:p>
    <w:p w14:paraId="0F0190AE" w14:textId="77777777" w:rsidR="00D0747C" w:rsidRPr="004B0DA6" w:rsidRDefault="00D0747C" w:rsidP="00203597">
      <w:pPr>
        <w:spacing w:after="0"/>
        <w:jc w:val="both"/>
        <w:rPr>
          <w:rFonts w:ascii="Times New Roman" w:hAnsi="Times New Roman" w:cs="Times New Roman"/>
          <w:b/>
          <w:bCs/>
          <w:i/>
          <w:sz w:val="24"/>
          <w:szCs w:val="24"/>
        </w:rPr>
      </w:pPr>
    </w:p>
    <w:p w14:paraId="64406BEF" w14:textId="4A98EF1E" w:rsidR="0056179C" w:rsidRPr="004B0DA6" w:rsidRDefault="0056179C" w:rsidP="00203597">
      <w:pPr>
        <w:spacing w:after="0"/>
        <w:jc w:val="both"/>
        <w:rPr>
          <w:rFonts w:ascii="Times New Roman" w:hAnsi="Times New Roman" w:cs="Times New Roman"/>
          <w:b/>
          <w:bCs/>
          <w:i/>
          <w:sz w:val="24"/>
          <w:szCs w:val="24"/>
        </w:rPr>
      </w:pPr>
      <w:r w:rsidRPr="004B0DA6">
        <w:rPr>
          <w:rFonts w:ascii="Times New Roman" w:hAnsi="Times New Roman" w:cs="Times New Roman"/>
          <w:b/>
          <w:bCs/>
          <w:i/>
          <w:sz w:val="24"/>
          <w:szCs w:val="24"/>
        </w:rPr>
        <w:t>1. Plan Description.</w:t>
      </w:r>
    </w:p>
    <w:p w14:paraId="25977FD7" w14:textId="77777777" w:rsidR="00F8523D" w:rsidRPr="004B0DA6" w:rsidRDefault="00F8523D" w:rsidP="00203597">
      <w:pPr>
        <w:spacing w:after="0"/>
        <w:jc w:val="both"/>
        <w:rPr>
          <w:rFonts w:ascii="Times New Roman" w:hAnsi="Times New Roman" w:cs="Times New Roman"/>
          <w:sz w:val="24"/>
          <w:szCs w:val="24"/>
        </w:rPr>
      </w:pPr>
    </w:p>
    <w:p w14:paraId="52F30A47" w14:textId="514029FC"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City of Dogwood administers a public employee retirement system (the </w:t>
      </w:r>
      <w:r w:rsidRPr="004B0DA6">
        <w:rPr>
          <w:rFonts w:ascii="Times New Roman" w:hAnsi="Times New Roman" w:cs="Times New Roman"/>
          <w:i/>
          <w:sz w:val="24"/>
          <w:szCs w:val="24"/>
        </w:rPr>
        <w:t>Separation Allowance</w:t>
      </w:r>
      <w:r w:rsidRPr="004B0DA6">
        <w:rPr>
          <w:rFonts w:ascii="Times New Roman" w:hAnsi="Times New Roman" w:cs="Times New Roman"/>
          <w:sz w:val="24"/>
          <w:szCs w:val="24"/>
        </w:rPr>
        <w:t xml:space="preserve">), a single employer defined benefit pension plan that provides retirement benefits to the City’s qualified sworn law enforcement officers under the age of 62 who have completed at least 30 years of creditable service or have attained 55 years of age and have completed five or more years of creditable service.  The Separation Allowance is equal to 0.85 percent of the annual equivalent of the base rate of compensation most recently applicable to the officer for each year of creditable service.  The retirement benefits are not subject to any increases in salary or retirement allowances that may be authorized by the General Assembly.  Article 12D of G.S. Chapter 143 assigns the authority to establish and amend benefit provisions to the North Carolina General Assembly.  </w:t>
      </w:r>
    </w:p>
    <w:p w14:paraId="5CFA7F72" w14:textId="77777777" w:rsidR="00117C78" w:rsidRPr="004B0DA6" w:rsidRDefault="00117C78" w:rsidP="00203597">
      <w:pPr>
        <w:spacing w:after="0"/>
        <w:jc w:val="both"/>
        <w:rPr>
          <w:rFonts w:ascii="Times New Roman" w:hAnsi="Times New Roman" w:cs="Times New Roman"/>
          <w:sz w:val="24"/>
          <w:szCs w:val="24"/>
        </w:rPr>
      </w:pPr>
    </w:p>
    <w:p w14:paraId="50DE2B18" w14:textId="77777777" w:rsidR="0056179C" w:rsidRPr="004B0DA6" w:rsidRDefault="0056179C" w:rsidP="00203597">
      <w:pPr>
        <w:keepNext/>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All full-time City law enforcement officers are covered by the Separation Allowance.  </w:t>
      </w:r>
    </w:p>
    <w:p w14:paraId="762827BC" w14:textId="3B4AAF46" w:rsidR="0056179C" w:rsidRPr="004B0DA6" w:rsidRDefault="0056179C" w:rsidP="00203597">
      <w:pPr>
        <w:keepNext/>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At December 31, </w:t>
      </w:r>
      <w:r w:rsidR="00D4577A" w:rsidRPr="004B0DA6">
        <w:rPr>
          <w:rFonts w:ascii="Times New Roman" w:hAnsi="Times New Roman" w:cs="Times New Roman"/>
          <w:sz w:val="24"/>
          <w:szCs w:val="24"/>
        </w:rPr>
        <w:t>202</w:t>
      </w:r>
      <w:r w:rsidR="00E56E17" w:rsidRPr="004B0DA6">
        <w:rPr>
          <w:rFonts w:ascii="Times New Roman" w:hAnsi="Times New Roman" w:cs="Times New Roman"/>
          <w:sz w:val="24"/>
          <w:szCs w:val="24"/>
        </w:rPr>
        <w:t>3</w:t>
      </w:r>
      <w:r w:rsidRPr="004B0DA6">
        <w:rPr>
          <w:rFonts w:ascii="Times New Roman" w:hAnsi="Times New Roman" w:cs="Times New Roman"/>
          <w:sz w:val="24"/>
          <w:szCs w:val="24"/>
        </w:rPr>
        <w:t>, the valuation date, the Separation Allowance’s membership consisted of:</w:t>
      </w:r>
    </w:p>
    <w:p w14:paraId="7D894656" w14:textId="77777777" w:rsidR="0056179C" w:rsidRPr="004B0DA6" w:rsidRDefault="0056179C" w:rsidP="00203597">
      <w:pPr>
        <w:keepNext/>
        <w:spacing w:after="0"/>
        <w:jc w:val="both"/>
        <w:rPr>
          <w:rFonts w:ascii="Times New Roman" w:hAnsi="Times New Roman" w:cs="Times New Roman"/>
          <w:sz w:val="24"/>
          <w:szCs w:val="24"/>
        </w:rPr>
      </w:pPr>
    </w:p>
    <w:p w14:paraId="165C58F1" w14:textId="47881C0A" w:rsidR="0056179C" w:rsidRPr="004B0DA6" w:rsidRDefault="00F17E61" w:rsidP="00203597">
      <w:pPr>
        <w:keepNext/>
        <w:spacing w:after="0"/>
        <w:rPr>
          <w:rFonts w:ascii="Times New Roman" w:hAnsi="Times New Roman" w:cs="Times New Roman"/>
          <w:bCs/>
          <w:sz w:val="24"/>
          <w:szCs w:val="24"/>
        </w:rPr>
      </w:pPr>
      <w:r w:rsidRPr="004B0DA6">
        <w:rPr>
          <w:rFonts w:ascii="Times New Roman" w:hAnsi="Times New Roman" w:cs="Times New Roman"/>
          <w:bCs/>
          <w:sz w:val="24"/>
          <w:szCs w:val="24"/>
        </w:rPr>
        <w:object w:dxaOrig="8114" w:dyaOrig="1252" w14:anchorId="24DCF7A9">
          <v:shape id="_x0000_i1036" type="#_x0000_t75" style="width:405.75pt;height:63pt" o:ole="">
            <v:imagedata r:id="rId47" o:title=""/>
          </v:shape>
          <o:OLEObject Type="Embed" ProgID="Excel.Sheet.8" ShapeID="_x0000_i1036" DrawAspect="Content" ObjectID="_1793012028" r:id="rId48"/>
        </w:object>
      </w:r>
    </w:p>
    <w:p w14:paraId="6FCCC73A" w14:textId="77777777" w:rsidR="0056179C" w:rsidRPr="004B0DA6" w:rsidRDefault="0056179C" w:rsidP="00203597">
      <w:pPr>
        <w:keepNext/>
        <w:spacing w:after="0"/>
        <w:jc w:val="both"/>
        <w:rPr>
          <w:rFonts w:ascii="Times New Roman" w:hAnsi="Times New Roman" w:cs="Times New Roman"/>
          <w:b/>
          <w:sz w:val="24"/>
          <w:szCs w:val="24"/>
        </w:rPr>
      </w:pPr>
    </w:p>
    <w:p w14:paraId="16A7A126" w14:textId="4BA876B6" w:rsidR="0056179C" w:rsidRPr="004B0DA6" w:rsidRDefault="0056179C" w:rsidP="00203597">
      <w:pPr>
        <w:keepNext/>
        <w:spacing w:after="0"/>
        <w:jc w:val="both"/>
        <w:rPr>
          <w:rFonts w:ascii="Times New Roman" w:hAnsi="Times New Roman" w:cs="Times New Roman"/>
          <w:b/>
          <w:i/>
          <w:sz w:val="24"/>
          <w:szCs w:val="24"/>
        </w:rPr>
      </w:pPr>
      <w:r w:rsidRPr="004B0DA6">
        <w:rPr>
          <w:rFonts w:ascii="Times New Roman" w:hAnsi="Times New Roman" w:cs="Times New Roman"/>
          <w:b/>
          <w:i/>
          <w:sz w:val="24"/>
          <w:szCs w:val="24"/>
        </w:rPr>
        <w:t>2. Summary of Significant Accounting Policies</w:t>
      </w:r>
    </w:p>
    <w:p w14:paraId="553EE156" w14:textId="18DEFE1C" w:rsidR="0056179C" w:rsidRPr="004B0DA6" w:rsidRDefault="0056179C" w:rsidP="00203597">
      <w:pPr>
        <w:keepNext/>
        <w:spacing w:after="0"/>
        <w:jc w:val="both"/>
        <w:rPr>
          <w:rFonts w:ascii="Times New Roman" w:hAnsi="Times New Roman" w:cs="Times New Roman"/>
          <w:sz w:val="24"/>
          <w:szCs w:val="24"/>
        </w:rPr>
      </w:pPr>
      <w:r w:rsidRPr="004B0DA6">
        <w:rPr>
          <w:rFonts w:ascii="Times New Roman" w:hAnsi="Times New Roman" w:cs="Times New Roman"/>
          <w:i/>
          <w:sz w:val="24"/>
          <w:szCs w:val="24"/>
        </w:rPr>
        <w:t xml:space="preserve">Basis of Accounting.  </w:t>
      </w:r>
      <w:r w:rsidRPr="004B0DA6">
        <w:rPr>
          <w:rFonts w:ascii="Times New Roman" w:hAnsi="Times New Roman" w:cs="Times New Roman"/>
          <w:sz w:val="24"/>
          <w:szCs w:val="24"/>
        </w:rPr>
        <w:t xml:space="preserve">The City has chosen to fund the Separation Allowance on a pay as you go basis.  Pension expenditures are made from the General Fund, which is maintained on the modified accrual basis of accounting.  Benefits are recognized when due and payable in accordance with the terms of the plan.  </w:t>
      </w:r>
    </w:p>
    <w:p w14:paraId="295F5789" w14:textId="77777777" w:rsidR="00AE68BF" w:rsidRPr="004B0DA6" w:rsidRDefault="00AE68BF" w:rsidP="00203597">
      <w:pPr>
        <w:keepNext/>
        <w:spacing w:after="0"/>
        <w:jc w:val="both"/>
        <w:rPr>
          <w:rFonts w:ascii="Times New Roman" w:hAnsi="Times New Roman" w:cs="Times New Roman"/>
          <w:sz w:val="24"/>
          <w:szCs w:val="24"/>
        </w:rPr>
      </w:pPr>
    </w:p>
    <w:p w14:paraId="71560EFD" w14:textId="3DC7316B" w:rsidR="0056179C" w:rsidRPr="004B0DA6" w:rsidRDefault="0056179C" w:rsidP="00203597">
      <w:pPr>
        <w:keepNext/>
        <w:spacing w:after="0"/>
        <w:jc w:val="both"/>
        <w:rPr>
          <w:rFonts w:ascii="Times New Roman" w:hAnsi="Times New Roman" w:cs="Times New Roman"/>
          <w:sz w:val="24"/>
          <w:szCs w:val="24"/>
        </w:rPr>
      </w:pPr>
      <w:r w:rsidRPr="004B0DA6">
        <w:rPr>
          <w:rFonts w:ascii="Times New Roman" w:hAnsi="Times New Roman" w:cs="Times New Roman"/>
          <w:sz w:val="24"/>
          <w:szCs w:val="24"/>
        </w:rPr>
        <w:t>The Separation Allowance has no assets accumulated in a trust that meets the criteria which are outlined in GASB Statement 73.</w:t>
      </w:r>
    </w:p>
    <w:p w14:paraId="7EF74F86" w14:textId="77777777" w:rsidR="0056179C" w:rsidRPr="004B0DA6" w:rsidRDefault="0056179C" w:rsidP="00203597">
      <w:pPr>
        <w:spacing w:after="0"/>
        <w:jc w:val="both"/>
        <w:rPr>
          <w:rFonts w:ascii="Times New Roman" w:hAnsi="Times New Roman" w:cs="Times New Roman"/>
          <w:sz w:val="24"/>
          <w:szCs w:val="24"/>
        </w:rPr>
      </w:pPr>
    </w:p>
    <w:p w14:paraId="164913D0" w14:textId="1DBFA705" w:rsidR="0056179C" w:rsidRPr="004B0DA6" w:rsidRDefault="0056179C" w:rsidP="00203597">
      <w:pPr>
        <w:spacing w:after="0"/>
        <w:jc w:val="both"/>
        <w:rPr>
          <w:rFonts w:ascii="Times New Roman" w:hAnsi="Times New Roman" w:cs="Times New Roman"/>
          <w:b/>
          <w:bCs/>
          <w:i/>
          <w:sz w:val="24"/>
          <w:szCs w:val="24"/>
        </w:rPr>
      </w:pPr>
      <w:r w:rsidRPr="004B0DA6">
        <w:rPr>
          <w:rFonts w:ascii="Times New Roman" w:hAnsi="Times New Roman" w:cs="Times New Roman"/>
          <w:b/>
          <w:bCs/>
          <w:i/>
          <w:sz w:val="24"/>
          <w:szCs w:val="24"/>
        </w:rPr>
        <w:t>3.   Actuarial Assumptions</w:t>
      </w:r>
    </w:p>
    <w:p w14:paraId="0C89D720" w14:textId="2B01AE5C" w:rsidR="0056179C" w:rsidRPr="004B0DA6" w:rsidRDefault="0056179C" w:rsidP="00203597">
      <w:pPr>
        <w:spacing w:after="0"/>
        <w:jc w:val="both"/>
        <w:rPr>
          <w:rFonts w:ascii="Times New Roman" w:hAnsi="Times New Roman" w:cs="Times New Roman"/>
          <w:bCs/>
          <w:sz w:val="24"/>
          <w:szCs w:val="24"/>
        </w:rPr>
      </w:pPr>
      <w:r w:rsidRPr="004B0DA6">
        <w:rPr>
          <w:rFonts w:ascii="Times New Roman" w:hAnsi="Times New Roman" w:cs="Times New Roman"/>
          <w:bCs/>
          <w:sz w:val="24"/>
          <w:szCs w:val="24"/>
        </w:rPr>
        <w:t xml:space="preserve">The entry age actuarial cost method was used in the December 31, </w:t>
      </w:r>
      <w:r w:rsidR="00D4577A" w:rsidRPr="004B0DA6">
        <w:rPr>
          <w:rFonts w:ascii="Times New Roman" w:hAnsi="Times New Roman" w:cs="Times New Roman"/>
          <w:bCs/>
          <w:sz w:val="24"/>
          <w:szCs w:val="24"/>
        </w:rPr>
        <w:t>202</w:t>
      </w:r>
      <w:r w:rsidR="00E56E17" w:rsidRPr="004B0DA6">
        <w:rPr>
          <w:rFonts w:ascii="Times New Roman" w:hAnsi="Times New Roman" w:cs="Times New Roman"/>
          <w:bCs/>
          <w:sz w:val="24"/>
          <w:szCs w:val="24"/>
        </w:rPr>
        <w:t>3</w:t>
      </w:r>
      <w:r w:rsidRPr="004B0DA6">
        <w:rPr>
          <w:rFonts w:ascii="Times New Roman" w:hAnsi="Times New Roman" w:cs="Times New Roman"/>
          <w:bCs/>
          <w:sz w:val="24"/>
          <w:szCs w:val="24"/>
        </w:rPr>
        <w:t xml:space="preserve">, valuation. The total pension liability in the December 31, </w:t>
      </w:r>
      <w:r w:rsidR="00D4577A" w:rsidRPr="004B0DA6">
        <w:rPr>
          <w:rFonts w:ascii="Times New Roman" w:hAnsi="Times New Roman" w:cs="Times New Roman"/>
          <w:bCs/>
          <w:sz w:val="24"/>
          <w:szCs w:val="24"/>
        </w:rPr>
        <w:t>202</w:t>
      </w:r>
      <w:r w:rsidR="00AE68BF" w:rsidRPr="004B0DA6">
        <w:rPr>
          <w:rFonts w:ascii="Times New Roman" w:hAnsi="Times New Roman" w:cs="Times New Roman"/>
          <w:bCs/>
          <w:sz w:val="24"/>
          <w:szCs w:val="24"/>
        </w:rPr>
        <w:t>3</w:t>
      </w:r>
      <w:r w:rsidRPr="004B0DA6">
        <w:rPr>
          <w:rFonts w:ascii="Times New Roman" w:hAnsi="Times New Roman" w:cs="Times New Roman"/>
          <w:bCs/>
          <w:sz w:val="24"/>
          <w:szCs w:val="24"/>
        </w:rPr>
        <w:t>, actuarial valuation was determined using the following actuarial assumptions, applied to all periods included in the measurement:</w:t>
      </w:r>
    </w:p>
    <w:p w14:paraId="1F0EA1D2" w14:textId="77777777" w:rsidR="0056179C" w:rsidRPr="004B0DA6" w:rsidRDefault="0056179C" w:rsidP="00203597">
      <w:pPr>
        <w:spacing w:after="0"/>
        <w:jc w:val="both"/>
        <w:rPr>
          <w:rFonts w:ascii="Times New Roman" w:hAnsi="Times New Roman" w:cs="Times New Roman"/>
          <w:bCs/>
          <w:sz w:val="24"/>
          <w:szCs w:val="24"/>
        </w:rPr>
      </w:pPr>
    </w:p>
    <w:p w14:paraId="0F62BBCD" w14:textId="77777777" w:rsidR="0056179C" w:rsidRPr="004B0DA6" w:rsidRDefault="0056179C" w:rsidP="00203597">
      <w:pPr>
        <w:spacing w:after="0"/>
        <w:jc w:val="both"/>
        <w:rPr>
          <w:rFonts w:ascii="Times New Roman" w:hAnsi="Times New Roman" w:cs="Times New Roman"/>
          <w:bCs/>
          <w:sz w:val="24"/>
          <w:szCs w:val="24"/>
        </w:rPr>
      </w:pPr>
      <w:r w:rsidRPr="004B0DA6">
        <w:rPr>
          <w:rFonts w:ascii="Times New Roman" w:hAnsi="Times New Roman" w:cs="Times New Roman"/>
          <w:bCs/>
          <w:sz w:val="24"/>
          <w:szCs w:val="24"/>
        </w:rPr>
        <w:t>Inflation</w:t>
      </w:r>
      <w:r w:rsidRPr="004B0DA6">
        <w:rPr>
          <w:rFonts w:ascii="Times New Roman" w:hAnsi="Times New Roman" w:cs="Times New Roman"/>
          <w:bCs/>
          <w:sz w:val="24"/>
          <w:szCs w:val="24"/>
        </w:rPr>
        <w:tab/>
      </w:r>
      <w:r w:rsidRPr="004B0DA6">
        <w:rPr>
          <w:rFonts w:ascii="Times New Roman" w:hAnsi="Times New Roman" w:cs="Times New Roman"/>
          <w:bCs/>
          <w:sz w:val="24"/>
          <w:szCs w:val="24"/>
        </w:rPr>
        <w:tab/>
      </w:r>
      <w:r w:rsidRPr="004B0DA6">
        <w:rPr>
          <w:rFonts w:ascii="Times New Roman" w:hAnsi="Times New Roman" w:cs="Times New Roman"/>
          <w:bCs/>
          <w:sz w:val="24"/>
          <w:szCs w:val="24"/>
        </w:rPr>
        <w:tab/>
      </w:r>
      <w:r w:rsidRPr="004B0DA6">
        <w:rPr>
          <w:rFonts w:ascii="Times New Roman" w:hAnsi="Times New Roman" w:cs="Times New Roman"/>
          <w:bCs/>
          <w:sz w:val="24"/>
          <w:szCs w:val="24"/>
        </w:rPr>
        <w:tab/>
      </w:r>
      <w:r w:rsidRPr="004B0DA6">
        <w:rPr>
          <w:rFonts w:ascii="Times New Roman" w:hAnsi="Times New Roman" w:cs="Times New Roman"/>
          <w:bCs/>
          <w:sz w:val="24"/>
          <w:szCs w:val="24"/>
        </w:rPr>
        <w:tab/>
        <w:t>2.5 percent</w:t>
      </w:r>
    </w:p>
    <w:p w14:paraId="59CB5806" w14:textId="77777777" w:rsidR="0056179C" w:rsidRPr="004B0DA6" w:rsidRDefault="0056179C" w:rsidP="00203597">
      <w:pPr>
        <w:spacing w:after="0"/>
        <w:ind w:left="4320" w:hanging="4320"/>
        <w:jc w:val="both"/>
        <w:rPr>
          <w:rFonts w:ascii="Times New Roman" w:hAnsi="Times New Roman" w:cs="Times New Roman"/>
          <w:bCs/>
          <w:sz w:val="24"/>
          <w:szCs w:val="24"/>
        </w:rPr>
      </w:pPr>
      <w:r w:rsidRPr="004B0DA6">
        <w:rPr>
          <w:rFonts w:ascii="Times New Roman" w:hAnsi="Times New Roman" w:cs="Times New Roman"/>
          <w:bCs/>
          <w:sz w:val="24"/>
          <w:szCs w:val="24"/>
        </w:rPr>
        <w:t>Salary increases</w:t>
      </w:r>
      <w:r w:rsidRPr="004B0DA6">
        <w:rPr>
          <w:rFonts w:ascii="Times New Roman" w:hAnsi="Times New Roman" w:cs="Times New Roman"/>
          <w:bCs/>
          <w:sz w:val="24"/>
          <w:szCs w:val="24"/>
        </w:rPr>
        <w:tab/>
        <w:t xml:space="preserve">3.50 to 8.10 percent, including inflation and productivity </w:t>
      </w:r>
      <w:proofErr w:type="gramStart"/>
      <w:r w:rsidRPr="004B0DA6">
        <w:rPr>
          <w:rFonts w:ascii="Times New Roman" w:hAnsi="Times New Roman" w:cs="Times New Roman"/>
          <w:bCs/>
          <w:sz w:val="24"/>
          <w:szCs w:val="24"/>
        </w:rPr>
        <w:t>factor</w:t>
      </w:r>
      <w:proofErr w:type="gramEnd"/>
    </w:p>
    <w:p w14:paraId="68FCD2FE" w14:textId="77777777" w:rsidR="0056179C" w:rsidRPr="004B0DA6" w:rsidRDefault="0056179C" w:rsidP="00203597">
      <w:pPr>
        <w:spacing w:after="0"/>
        <w:jc w:val="both"/>
        <w:rPr>
          <w:rFonts w:ascii="Times New Roman" w:hAnsi="Times New Roman" w:cs="Times New Roman"/>
          <w:bCs/>
          <w:sz w:val="24"/>
          <w:szCs w:val="24"/>
        </w:rPr>
      </w:pPr>
      <w:r w:rsidRPr="004B0DA6">
        <w:rPr>
          <w:rFonts w:ascii="Times New Roman" w:hAnsi="Times New Roman" w:cs="Times New Roman"/>
          <w:bCs/>
          <w:sz w:val="24"/>
          <w:szCs w:val="24"/>
        </w:rPr>
        <w:t>Discount rate</w:t>
      </w:r>
      <w:r w:rsidRPr="004B0DA6">
        <w:rPr>
          <w:rFonts w:ascii="Times New Roman" w:hAnsi="Times New Roman" w:cs="Times New Roman"/>
          <w:bCs/>
          <w:sz w:val="24"/>
          <w:szCs w:val="24"/>
        </w:rPr>
        <w:tab/>
      </w:r>
      <w:r w:rsidRPr="004B0DA6">
        <w:rPr>
          <w:rFonts w:ascii="Times New Roman" w:hAnsi="Times New Roman" w:cs="Times New Roman"/>
          <w:bCs/>
          <w:sz w:val="24"/>
          <w:szCs w:val="24"/>
        </w:rPr>
        <w:tab/>
      </w:r>
      <w:r w:rsidRPr="004B0DA6">
        <w:rPr>
          <w:rFonts w:ascii="Times New Roman" w:hAnsi="Times New Roman" w:cs="Times New Roman"/>
          <w:bCs/>
          <w:sz w:val="24"/>
          <w:szCs w:val="24"/>
        </w:rPr>
        <w:tab/>
      </w:r>
      <w:r w:rsidRPr="004B0DA6">
        <w:rPr>
          <w:rFonts w:ascii="Times New Roman" w:hAnsi="Times New Roman" w:cs="Times New Roman"/>
          <w:bCs/>
          <w:sz w:val="24"/>
          <w:szCs w:val="24"/>
        </w:rPr>
        <w:tab/>
      </w:r>
      <w:r w:rsidRPr="004B0DA6">
        <w:rPr>
          <w:rFonts w:ascii="Times New Roman" w:hAnsi="Times New Roman" w:cs="Times New Roman"/>
          <w:bCs/>
          <w:sz w:val="24"/>
          <w:szCs w:val="24"/>
        </w:rPr>
        <w:tab/>
        <w:t xml:space="preserve">2.98 percent </w:t>
      </w:r>
    </w:p>
    <w:p w14:paraId="18E3CDA6" w14:textId="77777777" w:rsidR="00117C78" w:rsidRPr="004B0DA6" w:rsidRDefault="00117C78" w:rsidP="00203597">
      <w:pPr>
        <w:autoSpaceDE w:val="0"/>
        <w:autoSpaceDN w:val="0"/>
        <w:adjustRightInd w:val="0"/>
        <w:spacing w:after="0"/>
        <w:jc w:val="both"/>
        <w:rPr>
          <w:rFonts w:ascii="Times New Roman" w:hAnsi="Times New Roman" w:cs="Times New Roman"/>
          <w:bCs/>
          <w:sz w:val="24"/>
          <w:szCs w:val="24"/>
        </w:rPr>
      </w:pPr>
    </w:p>
    <w:p w14:paraId="5E5084B1" w14:textId="7A8AD91C" w:rsidR="0056179C" w:rsidRPr="004B0DA6" w:rsidRDefault="0056179C" w:rsidP="00203597">
      <w:pPr>
        <w:autoSpaceDE w:val="0"/>
        <w:autoSpaceDN w:val="0"/>
        <w:adjustRightInd w:val="0"/>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discount rate is based on the yield of the S&amp;P Municipal Bond 20 Year High Grade Rate Index as of December 31, </w:t>
      </w:r>
      <w:r w:rsidR="00D4577A" w:rsidRPr="004B0DA6">
        <w:rPr>
          <w:rFonts w:ascii="Times New Roman" w:hAnsi="Times New Roman" w:cs="Times New Roman"/>
          <w:sz w:val="24"/>
          <w:szCs w:val="24"/>
        </w:rPr>
        <w:t>202</w:t>
      </w:r>
      <w:r w:rsidR="00E56E17" w:rsidRPr="004B0DA6">
        <w:rPr>
          <w:rFonts w:ascii="Times New Roman" w:hAnsi="Times New Roman" w:cs="Times New Roman"/>
          <w:sz w:val="24"/>
          <w:szCs w:val="24"/>
        </w:rPr>
        <w:t>3</w:t>
      </w:r>
      <w:r w:rsidRPr="004B0DA6">
        <w:rPr>
          <w:rFonts w:ascii="Times New Roman" w:hAnsi="Times New Roman" w:cs="Times New Roman"/>
          <w:sz w:val="24"/>
          <w:szCs w:val="24"/>
        </w:rPr>
        <w:t>.</w:t>
      </w:r>
    </w:p>
    <w:p w14:paraId="04E19B20" w14:textId="77777777" w:rsidR="00A95633" w:rsidRPr="004B0DA6" w:rsidRDefault="00A95633" w:rsidP="00203597">
      <w:pPr>
        <w:autoSpaceDE w:val="0"/>
        <w:autoSpaceDN w:val="0"/>
        <w:adjustRightInd w:val="0"/>
        <w:spacing w:after="0"/>
        <w:jc w:val="both"/>
        <w:rPr>
          <w:rFonts w:ascii="Times New Roman" w:hAnsi="Times New Roman" w:cs="Times New Roman"/>
          <w:sz w:val="24"/>
          <w:szCs w:val="24"/>
        </w:rPr>
      </w:pPr>
    </w:p>
    <w:p w14:paraId="538EB130" w14:textId="77777777" w:rsidR="00E7142E" w:rsidRPr="004B0DA6" w:rsidRDefault="0056179C" w:rsidP="00203597">
      <w:pPr>
        <w:autoSpaceDE w:val="0"/>
        <w:autoSpaceDN w:val="0"/>
        <w:adjustRightInd w:val="0"/>
        <w:spacing w:after="0"/>
        <w:jc w:val="both"/>
        <w:rPr>
          <w:rFonts w:ascii="Times New Roman" w:hAnsi="Times New Roman" w:cs="Times New Roman"/>
          <w:sz w:val="24"/>
          <w:szCs w:val="24"/>
        </w:rPr>
      </w:pPr>
      <w:r w:rsidRPr="004B0DA6">
        <w:rPr>
          <w:rFonts w:ascii="Times New Roman" w:hAnsi="Times New Roman" w:cs="Times New Roman"/>
          <w:sz w:val="24"/>
          <w:szCs w:val="24"/>
        </w:rPr>
        <w:t>Mortality rates are based on the RP-2000 Mortality tables with adjustments for mortality improvements based on Scale AA.</w:t>
      </w:r>
    </w:p>
    <w:p w14:paraId="43338B59" w14:textId="77777777" w:rsidR="00A95633" w:rsidRPr="004B0DA6" w:rsidRDefault="00A95633" w:rsidP="00203597">
      <w:pPr>
        <w:autoSpaceDE w:val="0"/>
        <w:autoSpaceDN w:val="0"/>
        <w:adjustRightInd w:val="0"/>
        <w:spacing w:after="0"/>
        <w:jc w:val="both"/>
        <w:rPr>
          <w:rFonts w:ascii="Times New Roman" w:hAnsi="Times New Roman" w:cs="Times New Roman"/>
          <w:sz w:val="24"/>
          <w:szCs w:val="24"/>
        </w:rPr>
      </w:pPr>
    </w:p>
    <w:p w14:paraId="50FFFD22" w14:textId="5A7B9EFA" w:rsidR="0056179C" w:rsidRPr="004B0DA6" w:rsidRDefault="0056179C" w:rsidP="00203597">
      <w:pPr>
        <w:autoSpaceDE w:val="0"/>
        <w:autoSpaceDN w:val="0"/>
        <w:adjustRightInd w:val="0"/>
        <w:spacing w:after="0"/>
        <w:jc w:val="both"/>
        <w:rPr>
          <w:rFonts w:ascii="Times New Roman" w:hAnsi="Times New Roman" w:cs="Times New Roman"/>
          <w:sz w:val="24"/>
          <w:szCs w:val="24"/>
        </w:rPr>
      </w:pPr>
      <w:r w:rsidRPr="004B0DA6">
        <w:rPr>
          <w:rFonts w:ascii="Times New Roman" w:hAnsi="Times New Roman" w:cs="Times New Roman"/>
          <w:b/>
          <w:bCs/>
          <w:i/>
          <w:sz w:val="24"/>
          <w:szCs w:val="24"/>
        </w:rPr>
        <w:t>3. Contributions.</w:t>
      </w:r>
    </w:p>
    <w:p w14:paraId="468FF352" w14:textId="77777777" w:rsidR="00F8523D" w:rsidRPr="004B0DA6" w:rsidRDefault="00F8523D" w:rsidP="00203597">
      <w:pPr>
        <w:spacing w:after="0"/>
        <w:jc w:val="both"/>
        <w:rPr>
          <w:rFonts w:ascii="Times New Roman" w:hAnsi="Times New Roman" w:cs="Times New Roman"/>
          <w:sz w:val="24"/>
          <w:szCs w:val="24"/>
        </w:rPr>
      </w:pPr>
    </w:p>
    <w:p w14:paraId="079EDECA" w14:textId="40102609"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City is required by Article 12D of G.S. Chapter 143 to provide these retirement benefits and has chosen to fund the amounts necessary to cover the benefits earned on a pay as you go basis through appropriations made in the General Fund operating budget.  There were no contributions made by employees.  The City’s obligation to contribute to this plan is established and may be amended by the North Carolina General Assembly. Administration costs of the Separation Allowance are financed through investment earnings.  The City paid $16,031 as benefits came due for the reporting period.  </w:t>
      </w:r>
    </w:p>
    <w:p w14:paraId="4C7F0246" w14:textId="77777777" w:rsidR="00117C78" w:rsidRPr="004B0DA6" w:rsidRDefault="00117C78" w:rsidP="00203597">
      <w:pPr>
        <w:spacing w:after="0"/>
        <w:jc w:val="both"/>
        <w:rPr>
          <w:rFonts w:ascii="Times New Roman" w:hAnsi="Times New Roman" w:cs="Times New Roman"/>
          <w:sz w:val="24"/>
          <w:szCs w:val="24"/>
        </w:rPr>
      </w:pPr>
    </w:p>
    <w:p w14:paraId="18013A49" w14:textId="1D93DC81" w:rsidR="0056179C" w:rsidRPr="004B0DA6" w:rsidRDefault="0056179C" w:rsidP="00203597">
      <w:pPr>
        <w:spacing w:after="0"/>
        <w:jc w:val="both"/>
        <w:rPr>
          <w:rFonts w:ascii="Times New Roman" w:hAnsi="Times New Roman" w:cs="Times New Roman"/>
          <w:b/>
          <w:i/>
          <w:sz w:val="24"/>
          <w:szCs w:val="24"/>
        </w:rPr>
      </w:pPr>
      <w:r w:rsidRPr="004B0DA6">
        <w:rPr>
          <w:rFonts w:ascii="Times New Roman" w:hAnsi="Times New Roman" w:cs="Times New Roman"/>
          <w:b/>
          <w:i/>
          <w:sz w:val="24"/>
          <w:szCs w:val="24"/>
        </w:rPr>
        <w:t>Pension Liabilities, Pension Expense, and Deferred Outflows of Resources and Deferred Inflows of Resources Related to Pensions</w:t>
      </w:r>
    </w:p>
    <w:p w14:paraId="2AFEFBFA" w14:textId="77777777" w:rsidR="00F8523D" w:rsidRPr="004B0DA6" w:rsidRDefault="00F8523D" w:rsidP="00203597">
      <w:pPr>
        <w:spacing w:after="0"/>
        <w:jc w:val="both"/>
        <w:rPr>
          <w:rFonts w:ascii="Times New Roman" w:hAnsi="Times New Roman" w:cs="Times New Roman"/>
          <w:sz w:val="24"/>
          <w:szCs w:val="24"/>
        </w:rPr>
      </w:pPr>
    </w:p>
    <w:p w14:paraId="001397A7" w14:textId="6531C638"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At June 30, </w:t>
      </w:r>
      <w:r w:rsidR="00A85B23" w:rsidRPr="004B0DA6">
        <w:rPr>
          <w:rFonts w:ascii="Times New Roman" w:hAnsi="Times New Roman" w:cs="Times New Roman"/>
          <w:sz w:val="24"/>
          <w:szCs w:val="24"/>
        </w:rPr>
        <w:t>202</w:t>
      </w:r>
      <w:r w:rsidR="0013633E" w:rsidRPr="004B0DA6">
        <w:rPr>
          <w:rFonts w:ascii="Times New Roman" w:hAnsi="Times New Roman" w:cs="Times New Roman"/>
          <w:sz w:val="24"/>
          <w:szCs w:val="24"/>
        </w:rPr>
        <w:t>4</w:t>
      </w:r>
      <w:r w:rsidRPr="004B0DA6">
        <w:rPr>
          <w:rFonts w:ascii="Times New Roman" w:hAnsi="Times New Roman" w:cs="Times New Roman"/>
          <w:sz w:val="24"/>
          <w:szCs w:val="24"/>
        </w:rPr>
        <w:t xml:space="preserve">, the City reported a total pension liability of $219,382.  The total pension liability was measured as of December 31, </w:t>
      </w:r>
      <w:r w:rsidR="00D4577A" w:rsidRPr="004B0DA6">
        <w:rPr>
          <w:rFonts w:ascii="Times New Roman" w:hAnsi="Times New Roman" w:cs="Times New Roman"/>
          <w:sz w:val="24"/>
          <w:szCs w:val="24"/>
        </w:rPr>
        <w:t>202</w:t>
      </w:r>
      <w:r w:rsidR="0013633E" w:rsidRPr="004B0DA6">
        <w:rPr>
          <w:rFonts w:ascii="Times New Roman" w:hAnsi="Times New Roman" w:cs="Times New Roman"/>
          <w:sz w:val="24"/>
          <w:szCs w:val="24"/>
        </w:rPr>
        <w:t>3</w:t>
      </w:r>
      <w:r w:rsidRPr="004B0DA6">
        <w:rPr>
          <w:rFonts w:ascii="Times New Roman" w:hAnsi="Times New Roman" w:cs="Times New Roman"/>
          <w:sz w:val="24"/>
          <w:szCs w:val="24"/>
        </w:rPr>
        <w:t xml:space="preserve">, based on a December 31, </w:t>
      </w:r>
      <w:r w:rsidR="00D4577A" w:rsidRPr="004B0DA6">
        <w:rPr>
          <w:rFonts w:ascii="Times New Roman" w:hAnsi="Times New Roman" w:cs="Times New Roman"/>
          <w:sz w:val="24"/>
          <w:szCs w:val="24"/>
        </w:rPr>
        <w:t>202</w:t>
      </w:r>
      <w:r w:rsidR="0013633E" w:rsidRPr="004B0DA6">
        <w:rPr>
          <w:rFonts w:ascii="Times New Roman" w:hAnsi="Times New Roman" w:cs="Times New Roman"/>
          <w:sz w:val="24"/>
          <w:szCs w:val="24"/>
        </w:rPr>
        <w:t>2</w:t>
      </w:r>
      <w:r w:rsidRPr="004B0DA6">
        <w:rPr>
          <w:rFonts w:ascii="Times New Roman" w:hAnsi="Times New Roman" w:cs="Times New Roman"/>
          <w:sz w:val="24"/>
          <w:szCs w:val="24"/>
        </w:rPr>
        <w:t xml:space="preserve">, actuarial valuation.  The total pension liability was then rolled forward to the measurement date of December 31, </w:t>
      </w:r>
      <w:r w:rsidR="00D4577A" w:rsidRPr="004B0DA6">
        <w:rPr>
          <w:rFonts w:ascii="Times New Roman" w:hAnsi="Times New Roman" w:cs="Times New Roman"/>
          <w:sz w:val="24"/>
          <w:szCs w:val="24"/>
        </w:rPr>
        <w:t>202</w:t>
      </w:r>
      <w:r w:rsidR="0013633E" w:rsidRPr="004B0DA6">
        <w:rPr>
          <w:rFonts w:ascii="Times New Roman" w:hAnsi="Times New Roman" w:cs="Times New Roman"/>
          <w:sz w:val="24"/>
          <w:szCs w:val="24"/>
        </w:rPr>
        <w:t>3</w:t>
      </w:r>
      <w:r w:rsidRPr="004B0DA6">
        <w:rPr>
          <w:rFonts w:ascii="Times New Roman" w:hAnsi="Times New Roman" w:cs="Times New Roman"/>
          <w:sz w:val="24"/>
          <w:szCs w:val="24"/>
        </w:rPr>
        <w:t xml:space="preserve">, utilizing update procedures incorporating the actuarial assumptions.  For the year ended June 30, </w:t>
      </w:r>
      <w:r w:rsidR="00A85B23" w:rsidRPr="004B0DA6">
        <w:rPr>
          <w:rFonts w:ascii="Times New Roman" w:hAnsi="Times New Roman" w:cs="Times New Roman"/>
          <w:sz w:val="24"/>
          <w:szCs w:val="24"/>
        </w:rPr>
        <w:t>202</w:t>
      </w:r>
      <w:r w:rsidR="0013633E" w:rsidRPr="004B0DA6">
        <w:rPr>
          <w:rFonts w:ascii="Times New Roman" w:hAnsi="Times New Roman" w:cs="Times New Roman"/>
          <w:sz w:val="24"/>
          <w:szCs w:val="24"/>
        </w:rPr>
        <w:t>4</w:t>
      </w:r>
      <w:r w:rsidRPr="004B0DA6">
        <w:rPr>
          <w:rFonts w:ascii="Times New Roman" w:hAnsi="Times New Roman" w:cs="Times New Roman"/>
          <w:sz w:val="24"/>
          <w:szCs w:val="24"/>
        </w:rPr>
        <w:t xml:space="preserve">, the City recognized pension expense of $15,914. </w:t>
      </w:r>
    </w:p>
    <w:p w14:paraId="2EC2AA26" w14:textId="77777777" w:rsidR="00117C78" w:rsidRPr="004B0DA6" w:rsidRDefault="00117C78" w:rsidP="00203597">
      <w:pPr>
        <w:spacing w:after="0"/>
        <w:jc w:val="both"/>
        <w:rPr>
          <w:rFonts w:ascii="Times New Roman" w:hAnsi="Times New Roman" w:cs="Times New Roman"/>
          <w:sz w:val="24"/>
          <w:szCs w:val="24"/>
        </w:rPr>
      </w:pPr>
    </w:p>
    <w:bookmarkStart w:id="41" w:name="_MON_1559923011"/>
    <w:bookmarkEnd w:id="41"/>
    <w:p w14:paraId="0AAD8B1C" w14:textId="014783B2" w:rsidR="0056179C" w:rsidRPr="004B0DA6" w:rsidRDefault="00076418"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object w:dxaOrig="8918" w:dyaOrig="2845" w14:anchorId="4C15C3F8">
          <v:shape id="_x0000_i1037" type="#_x0000_t75" style="width:444pt;height:141pt" o:ole="">
            <v:imagedata r:id="rId49" o:title=""/>
          </v:shape>
          <o:OLEObject Type="Embed" ProgID="Excel.Sheet.8" ShapeID="_x0000_i1037" DrawAspect="Content" ObjectID="_1793012029" r:id="rId50"/>
        </w:object>
      </w:r>
    </w:p>
    <w:p w14:paraId="60B33F03" w14:textId="77777777" w:rsidR="00117C78" w:rsidRPr="004B0DA6" w:rsidRDefault="00117C78" w:rsidP="00203597">
      <w:pPr>
        <w:spacing w:after="0"/>
        <w:jc w:val="both"/>
        <w:rPr>
          <w:rFonts w:ascii="Times New Roman" w:hAnsi="Times New Roman" w:cs="Times New Roman"/>
          <w:sz w:val="24"/>
          <w:szCs w:val="24"/>
        </w:rPr>
      </w:pPr>
    </w:p>
    <w:p w14:paraId="4DC93E0E" w14:textId="3EF88FD9"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lastRenderedPageBreak/>
        <w:t xml:space="preserve">$9,118 paid as benefits came due </w:t>
      </w:r>
      <w:proofErr w:type="gramStart"/>
      <w:r w:rsidRPr="004B0DA6">
        <w:rPr>
          <w:rFonts w:ascii="Times New Roman" w:hAnsi="Times New Roman" w:cs="Times New Roman"/>
          <w:sz w:val="24"/>
          <w:szCs w:val="24"/>
        </w:rPr>
        <w:t>subsequent to</w:t>
      </w:r>
      <w:proofErr w:type="gramEnd"/>
      <w:r w:rsidRPr="004B0DA6">
        <w:rPr>
          <w:rFonts w:ascii="Times New Roman" w:hAnsi="Times New Roman" w:cs="Times New Roman"/>
          <w:sz w:val="24"/>
          <w:szCs w:val="24"/>
        </w:rPr>
        <w:t xml:space="preserve"> the measurement date have been reported as deferred outflows of resources.  Other amounts reported as deferred outflows and deferred inflows of resources related to pensions will be recognized in pension expense as follows:</w:t>
      </w:r>
    </w:p>
    <w:p w14:paraId="52FE4695" w14:textId="77777777" w:rsidR="00A95633" w:rsidRPr="004B0DA6" w:rsidRDefault="00A95633" w:rsidP="00203597">
      <w:pPr>
        <w:spacing w:after="0"/>
        <w:jc w:val="both"/>
        <w:rPr>
          <w:rFonts w:ascii="Times New Roman" w:hAnsi="Times New Roman" w:cs="Times New Roman"/>
          <w:sz w:val="24"/>
          <w:szCs w:val="24"/>
        </w:rPr>
      </w:pPr>
    </w:p>
    <w:bookmarkStart w:id="42" w:name="_MON_1559923275"/>
    <w:bookmarkEnd w:id="42"/>
    <w:p w14:paraId="104EE264" w14:textId="3C61B95A" w:rsidR="0056179C" w:rsidRPr="004B0DA6" w:rsidRDefault="00D0747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object w:dxaOrig="7500" w:dyaOrig="2192" w14:anchorId="7A0BD60F">
          <v:shape id="_x0000_i1038" type="#_x0000_t75" style="width:372.75pt;height:109.5pt" o:ole="">
            <v:imagedata r:id="rId51" o:title=""/>
          </v:shape>
          <o:OLEObject Type="Embed" ProgID="Excel.Sheet.8" ShapeID="_x0000_i1038" DrawAspect="Content" ObjectID="_1793012030" r:id="rId52"/>
        </w:object>
      </w:r>
    </w:p>
    <w:p w14:paraId="3A3CAEAA" w14:textId="77777777" w:rsidR="00F8523D" w:rsidRPr="004B0DA6" w:rsidRDefault="00F8523D" w:rsidP="00203597">
      <w:pPr>
        <w:spacing w:after="0"/>
        <w:jc w:val="both"/>
        <w:rPr>
          <w:rFonts w:ascii="Times New Roman" w:hAnsi="Times New Roman" w:cs="Times New Roman"/>
          <w:i/>
          <w:sz w:val="24"/>
          <w:szCs w:val="24"/>
        </w:rPr>
      </w:pPr>
    </w:p>
    <w:p w14:paraId="7D6BC78E" w14:textId="77777777" w:rsidR="00F8523D" w:rsidRPr="004B0DA6" w:rsidRDefault="00F8523D" w:rsidP="00203597">
      <w:pPr>
        <w:spacing w:after="0"/>
        <w:jc w:val="both"/>
        <w:rPr>
          <w:rFonts w:ascii="Times New Roman" w:hAnsi="Times New Roman" w:cs="Times New Roman"/>
          <w:i/>
          <w:sz w:val="24"/>
          <w:szCs w:val="24"/>
        </w:rPr>
      </w:pPr>
    </w:p>
    <w:p w14:paraId="3C115213" w14:textId="45057524"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i/>
          <w:sz w:val="24"/>
          <w:szCs w:val="24"/>
        </w:rPr>
        <w:t>Sensitivity of the City’s total pension liability to changes in the discount rate</w:t>
      </w:r>
      <w:r w:rsidRPr="004B0DA6">
        <w:rPr>
          <w:rFonts w:ascii="Times New Roman" w:hAnsi="Times New Roman" w:cs="Times New Roman"/>
          <w:sz w:val="24"/>
          <w:szCs w:val="24"/>
        </w:rPr>
        <w:t>.  The following presents the City’s total pension liability calculated using the discount rate of 2.98 percent, as well as what the City’s total pension liability would be if it were calculated using a discount rate that is 1-percentage-point lower (1.98 percent) or 1-percentage-point higher (3.98 percent) than the current rate:</w:t>
      </w:r>
    </w:p>
    <w:bookmarkStart w:id="43" w:name="_MON_1559231634"/>
    <w:bookmarkEnd w:id="43"/>
    <w:p w14:paraId="7F866BA7" w14:textId="24714EF6" w:rsidR="0056179C" w:rsidRPr="004B0DA6" w:rsidRDefault="00076418" w:rsidP="00203597">
      <w:pPr>
        <w:spacing w:after="0"/>
        <w:rPr>
          <w:rFonts w:ascii="Times New Roman" w:hAnsi="Times New Roman" w:cs="Times New Roman"/>
          <w:sz w:val="24"/>
          <w:szCs w:val="24"/>
        </w:rPr>
      </w:pPr>
      <w:r w:rsidRPr="004B0DA6">
        <w:rPr>
          <w:rFonts w:ascii="Times New Roman" w:hAnsi="Times New Roman" w:cs="Times New Roman"/>
          <w:sz w:val="24"/>
          <w:szCs w:val="24"/>
        </w:rPr>
        <w:object w:dxaOrig="8967" w:dyaOrig="1180" w14:anchorId="331FFCE7">
          <v:shape id="_x0000_i1039" type="#_x0000_t75" style="width:448.5pt;height:59.25pt" o:ole="">
            <v:imagedata r:id="rId53" o:title=""/>
          </v:shape>
          <o:OLEObject Type="Embed" ProgID="Excel.Sheet.8" ShapeID="_x0000_i1039" DrawAspect="Content" ObjectID="_1793012031" r:id="rId54"/>
        </w:object>
      </w:r>
    </w:p>
    <w:p w14:paraId="62DCF42E" w14:textId="77777777" w:rsidR="0056179C" w:rsidRPr="004B0DA6" w:rsidRDefault="0056179C" w:rsidP="00203597">
      <w:pPr>
        <w:spacing w:after="0"/>
        <w:rPr>
          <w:rFonts w:ascii="Times New Roman" w:hAnsi="Times New Roman" w:cs="Times New Roman"/>
          <w:sz w:val="24"/>
          <w:szCs w:val="24"/>
        </w:rPr>
      </w:pPr>
    </w:p>
    <w:bookmarkStart w:id="44" w:name="_MON_1559231691"/>
    <w:bookmarkEnd w:id="44"/>
    <w:p w14:paraId="51907522" w14:textId="5188A7D8" w:rsidR="0056179C" w:rsidRPr="004B0DA6" w:rsidRDefault="00E7142E" w:rsidP="00203597">
      <w:pPr>
        <w:spacing w:after="0"/>
        <w:rPr>
          <w:rFonts w:ascii="Times New Roman" w:hAnsi="Times New Roman" w:cs="Times New Roman"/>
          <w:b/>
          <w:bCs/>
          <w:sz w:val="24"/>
          <w:szCs w:val="24"/>
        </w:rPr>
      </w:pPr>
      <w:r w:rsidRPr="004B0DA6">
        <w:rPr>
          <w:rFonts w:ascii="Times New Roman" w:hAnsi="Times New Roman" w:cs="Times New Roman"/>
          <w:b/>
          <w:bCs/>
          <w:sz w:val="24"/>
          <w:szCs w:val="24"/>
        </w:rPr>
        <w:object w:dxaOrig="9348" w:dyaOrig="4588" w14:anchorId="6D3602B5">
          <v:shape id="_x0000_i1040" type="#_x0000_t75" style="width:465.75pt;height:230.25pt" o:ole="">
            <v:imagedata r:id="rId55" o:title=""/>
          </v:shape>
          <o:OLEObject Type="Embed" ProgID="Excel.Sheet.8" ShapeID="_x0000_i1040" DrawAspect="Content" ObjectID="_1793012032" r:id="rId56"/>
        </w:object>
      </w:r>
    </w:p>
    <w:p w14:paraId="2DEA6CD3" w14:textId="77777777" w:rsidR="0056179C" w:rsidRPr="004B0DA6" w:rsidRDefault="0056179C" w:rsidP="00203597">
      <w:pPr>
        <w:spacing w:after="0"/>
        <w:rPr>
          <w:rFonts w:ascii="Times New Roman" w:hAnsi="Times New Roman" w:cs="Times New Roman"/>
          <w:b/>
          <w:bCs/>
          <w:sz w:val="24"/>
          <w:szCs w:val="24"/>
        </w:rPr>
      </w:pPr>
    </w:p>
    <w:p w14:paraId="432202A4" w14:textId="418E2F7B"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plan currently uses mortality tables that vary by age, and health status (i.e., </w:t>
      </w:r>
      <w:r w:rsidR="00BF6A8C" w:rsidRPr="004B0DA6">
        <w:rPr>
          <w:rFonts w:ascii="Times New Roman" w:hAnsi="Times New Roman" w:cs="Times New Roman"/>
          <w:sz w:val="24"/>
          <w:szCs w:val="24"/>
        </w:rPr>
        <w:t>disabled,</w:t>
      </w:r>
      <w:r w:rsidRPr="004B0DA6">
        <w:rPr>
          <w:rFonts w:ascii="Times New Roman" w:hAnsi="Times New Roman" w:cs="Times New Roman"/>
          <w:sz w:val="24"/>
          <w:szCs w:val="24"/>
        </w:rPr>
        <w:t xml:space="preserve"> and healthy).  The current mortality rates are based on published tables and based on studies that cover </w:t>
      </w:r>
      <w:r w:rsidRPr="004B0DA6">
        <w:rPr>
          <w:rFonts w:ascii="Times New Roman" w:hAnsi="Times New Roman" w:cs="Times New Roman"/>
          <w:sz w:val="24"/>
          <w:szCs w:val="24"/>
        </w:rPr>
        <w:lastRenderedPageBreak/>
        <w:t>significant portions of the U.S. population.  The healthy mortality rates also contain a provision to reflect future mortality improvements.</w:t>
      </w:r>
    </w:p>
    <w:p w14:paraId="1381EC3C" w14:textId="77777777" w:rsidR="00F8523D" w:rsidRPr="004B0DA6" w:rsidRDefault="00F8523D" w:rsidP="00203597">
      <w:pPr>
        <w:spacing w:after="0"/>
        <w:jc w:val="both"/>
        <w:rPr>
          <w:rFonts w:ascii="Times New Roman" w:hAnsi="Times New Roman" w:cs="Times New Roman"/>
          <w:sz w:val="24"/>
          <w:szCs w:val="24"/>
        </w:rPr>
      </w:pPr>
    </w:p>
    <w:p w14:paraId="0ACC2253" w14:textId="06C0530F"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actuarial assumptions used in the December 31, </w:t>
      </w:r>
      <w:r w:rsidR="00D4577A" w:rsidRPr="004B0DA6">
        <w:rPr>
          <w:rFonts w:ascii="Times New Roman" w:hAnsi="Times New Roman" w:cs="Times New Roman"/>
          <w:sz w:val="24"/>
          <w:szCs w:val="24"/>
        </w:rPr>
        <w:t>202</w:t>
      </w:r>
      <w:r w:rsidR="00E56E17" w:rsidRPr="004B0DA6">
        <w:rPr>
          <w:rFonts w:ascii="Times New Roman" w:hAnsi="Times New Roman" w:cs="Times New Roman"/>
          <w:sz w:val="24"/>
          <w:szCs w:val="24"/>
        </w:rPr>
        <w:t>3</w:t>
      </w:r>
      <w:r w:rsidRPr="004B0DA6">
        <w:rPr>
          <w:rFonts w:ascii="Times New Roman" w:hAnsi="Times New Roman" w:cs="Times New Roman"/>
          <w:sz w:val="24"/>
          <w:szCs w:val="24"/>
        </w:rPr>
        <w:t xml:space="preserve">, valuation </w:t>
      </w:r>
      <w:r w:rsidR="003A424A" w:rsidRPr="004B0DA6">
        <w:rPr>
          <w:rFonts w:ascii="Times New Roman" w:hAnsi="Times New Roman" w:cs="Times New Roman"/>
          <w:sz w:val="24"/>
          <w:szCs w:val="24"/>
        </w:rPr>
        <w:t>was</w:t>
      </w:r>
      <w:r w:rsidRPr="004B0DA6">
        <w:rPr>
          <w:rFonts w:ascii="Times New Roman" w:hAnsi="Times New Roman" w:cs="Times New Roman"/>
          <w:sz w:val="24"/>
          <w:szCs w:val="24"/>
        </w:rPr>
        <w:t xml:space="preserve"> based on the results of an actuarial experience study for the period January 1, 201</w:t>
      </w:r>
      <w:r w:rsidR="00E7142E" w:rsidRPr="004B0DA6">
        <w:rPr>
          <w:rFonts w:ascii="Times New Roman" w:hAnsi="Times New Roman" w:cs="Times New Roman"/>
          <w:sz w:val="24"/>
          <w:szCs w:val="24"/>
        </w:rPr>
        <w:t>1</w:t>
      </w:r>
      <w:r w:rsidRPr="004B0DA6">
        <w:rPr>
          <w:rFonts w:ascii="Times New Roman" w:hAnsi="Times New Roman" w:cs="Times New Roman"/>
          <w:sz w:val="24"/>
          <w:szCs w:val="24"/>
        </w:rPr>
        <w:t>, through December 31, 201</w:t>
      </w:r>
      <w:r w:rsidR="00E7142E" w:rsidRPr="004B0DA6">
        <w:rPr>
          <w:rFonts w:ascii="Times New Roman" w:hAnsi="Times New Roman" w:cs="Times New Roman"/>
          <w:sz w:val="24"/>
          <w:szCs w:val="24"/>
        </w:rPr>
        <w:t>5</w:t>
      </w:r>
      <w:r w:rsidRPr="004B0DA6">
        <w:rPr>
          <w:rFonts w:ascii="Times New Roman" w:hAnsi="Times New Roman" w:cs="Times New Roman"/>
          <w:sz w:val="24"/>
          <w:szCs w:val="24"/>
        </w:rPr>
        <w:t>.</w: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029"/>
      </w:tblGrid>
      <w:tr w:rsidR="0056179C" w:rsidRPr="004B0DA6" w14:paraId="7CF354E3" w14:textId="77777777" w:rsidTr="00F9386B">
        <w:tc>
          <w:tcPr>
            <w:tcW w:w="9029" w:type="dxa"/>
            <w:tcBorders>
              <w:top w:val="nil"/>
              <w:left w:val="nil"/>
              <w:bottom w:val="nil"/>
              <w:right w:val="nil"/>
            </w:tcBorders>
          </w:tcPr>
          <w:p w14:paraId="3AE8B2A8" w14:textId="0C1A9A9F" w:rsidR="00076418" w:rsidRPr="004B0DA6" w:rsidRDefault="0056179C" w:rsidP="00203597">
            <w:pPr>
              <w:keepNext/>
              <w:spacing w:after="0"/>
              <w:jc w:val="both"/>
              <w:rPr>
                <w:rFonts w:ascii="Times New Roman" w:hAnsi="Times New Roman" w:cs="Times New Roman"/>
                <w:sz w:val="24"/>
              </w:rPr>
            </w:pPr>
            <w:r w:rsidRPr="004B0DA6">
              <w:rPr>
                <w:rFonts w:ascii="Times New Roman" w:hAnsi="Times New Roman" w:cs="Times New Roman"/>
                <w:b/>
                <w:i/>
                <w:sz w:val="24"/>
              </w:rPr>
              <w:t>Total Expense, Liabilities, and Deferred Outflows and Inflows of Resources of Related to Pensions</w:t>
            </w:r>
          </w:p>
          <w:p w14:paraId="008326B6" w14:textId="0AD9A3E1" w:rsidR="0056179C" w:rsidRPr="004B0DA6" w:rsidRDefault="0056179C" w:rsidP="00203597">
            <w:pPr>
              <w:keepNext/>
              <w:spacing w:after="0"/>
              <w:jc w:val="both"/>
              <w:rPr>
                <w:rFonts w:ascii="Times New Roman" w:hAnsi="Times New Roman" w:cs="Times New Roman"/>
                <w:sz w:val="24"/>
              </w:rPr>
            </w:pPr>
            <w:r w:rsidRPr="004B0DA6">
              <w:rPr>
                <w:rFonts w:ascii="Times New Roman" w:hAnsi="Times New Roman" w:cs="Times New Roman"/>
                <w:sz w:val="24"/>
              </w:rPr>
              <w:t>Following is information related to the proportionate share and pension expense for all pension plans</w:t>
            </w:r>
            <w:r w:rsidR="00371C65" w:rsidRPr="004B0DA6">
              <w:rPr>
                <w:rFonts w:ascii="Times New Roman" w:hAnsi="Times New Roman" w:cs="Times New Roman"/>
                <w:sz w:val="24"/>
              </w:rPr>
              <w:t>:</w:t>
            </w:r>
          </w:p>
          <w:bookmarkStart w:id="45" w:name="_MON_1746202488"/>
          <w:bookmarkEnd w:id="45"/>
          <w:p w14:paraId="4270D049" w14:textId="5E286815" w:rsidR="0056179C" w:rsidRPr="004B0DA6" w:rsidRDefault="009E176B" w:rsidP="00203597">
            <w:pPr>
              <w:spacing w:after="0"/>
              <w:jc w:val="both"/>
              <w:rPr>
                <w:rFonts w:ascii="Times New Roman" w:hAnsi="Times New Roman" w:cs="Times New Roman"/>
                <w:sz w:val="24"/>
                <w:szCs w:val="24"/>
              </w:rPr>
            </w:pPr>
            <w:r w:rsidRPr="004B0DA6">
              <w:rPr>
                <w:rFonts w:ascii="Times New Roman" w:hAnsi="Times New Roman" w:cs="Times New Roman"/>
                <w:sz w:val="24"/>
              </w:rPr>
              <w:object w:dxaOrig="10442" w:dyaOrig="6847" w14:anchorId="4C12BCF5">
                <v:shape id="_x0000_i1041" type="#_x0000_t75" style="width:435.75pt;height:287.25pt" o:ole="">
                  <v:imagedata r:id="rId57" o:title=""/>
                </v:shape>
                <o:OLEObject Type="Embed" ProgID="Excel.Sheet.8" ShapeID="_x0000_i1041" DrawAspect="Content" ObjectID="_1793012033" r:id="rId58"/>
              </w:object>
            </w:r>
          </w:p>
        </w:tc>
      </w:tr>
    </w:tbl>
    <w:p w14:paraId="1E0C8200" w14:textId="77777777" w:rsidR="0056179C" w:rsidRPr="004B0DA6" w:rsidRDefault="0056179C" w:rsidP="00203597">
      <w:pPr>
        <w:spacing w:after="0"/>
        <w:rPr>
          <w:rFonts w:ascii="Times New Roman" w:hAnsi="Times New Roman" w:cs="Times New Roman"/>
          <w:sz w:val="24"/>
        </w:rPr>
      </w:pPr>
    </w:p>
    <w:p w14:paraId="26B2099C" w14:textId="6F400B67" w:rsidR="0056179C" w:rsidRPr="004B0DA6" w:rsidRDefault="0056179C" w:rsidP="00203597">
      <w:pPr>
        <w:spacing w:after="0"/>
        <w:rPr>
          <w:rFonts w:ascii="Times New Roman" w:hAnsi="Times New Roman" w:cs="Times New Roman"/>
          <w:sz w:val="24"/>
          <w:szCs w:val="24"/>
        </w:rPr>
      </w:pPr>
      <w:r w:rsidRPr="004B0DA6">
        <w:rPr>
          <w:rFonts w:ascii="Times New Roman" w:hAnsi="Times New Roman" w:cs="Times New Roman"/>
          <w:sz w:val="24"/>
          <w:szCs w:val="24"/>
        </w:rPr>
        <w:t xml:space="preserve">c. </w:t>
      </w:r>
      <w:r w:rsidRPr="004B0DA6">
        <w:rPr>
          <w:rFonts w:ascii="Times New Roman" w:hAnsi="Times New Roman" w:cs="Times New Roman"/>
          <w:sz w:val="24"/>
          <w:szCs w:val="24"/>
          <w:u w:val="single"/>
        </w:rPr>
        <w:t>Supplemental Retirement Income Plan for Law Enforcement Officers</w:t>
      </w:r>
    </w:p>
    <w:p w14:paraId="7E795A30" w14:textId="77777777" w:rsidR="00F8523D" w:rsidRPr="004B0DA6" w:rsidRDefault="00F8523D" w:rsidP="00203597">
      <w:pPr>
        <w:spacing w:after="0"/>
        <w:jc w:val="both"/>
        <w:rPr>
          <w:rFonts w:ascii="Times New Roman" w:hAnsi="Times New Roman" w:cs="Times New Roman"/>
          <w:i/>
          <w:sz w:val="24"/>
          <w:szCs w:val="24"/>
        </w:rPr>
      </w:pPr>
    </w:p>
    <w:p w14:paraId="14427B62" w14:textId="7A5087DE"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i/>
          <w:sz w:val="24"/>
          <w:szCs w:val="24"/>
        </w:rPr>
        <w:t>Plan Description.</w:t>
      </w:r>
      <w:r w:rsidRPr="004B0DA6">
        <w:rPr>
          <w:rFonts w:ascii="Times New Roman" w:hAnsi="Times New Roman" w:cs="Times New Roman"/>
          <w:sz w:val="24"/>
          <w:szCs w:val="24"/>
        </w:rPr>
        <w:t xml:space="preserve">  The City contributes to the Supplemental Retirement Income Plan (Plan), a defined contribution pension plan administered by the Department of State Treasurer and a Board of Trustees.  The Plan provides retirement benefits to law enforcement officers employed by the City.  Article 5 of G.S. Chapter 135 assigns the authority to establish and amend benefit provisions to the North Carolina General Assembly.  The Supplemental Retirement Income Plan for Law Enforcement Officers is included in the </w:t>
      </w:r>
      <w:r w:rsidR="00ED3106" w:rsidRPr="004B0DA6">
        <w:rPr>
          <w:rFonts w:ascii="Times New Roman" w:hAnsi="Times New Roman" w:cs="Times New Roman"/>
          <w:sz w:val="24"/>
          <w:szCs w:val="24"/>
        </w:rPr>
        <w:t>Annual Comprehensive Financial Report</w:t>
      </w:r>
      <w:r w:rsidR="0004624E" w:rsidRPr="004B0DA6">
        <w:rPr>
          <w:rFonts w:ascii="Times New Roman" w:hAnsi="Times New Roman" w:cs="Times New Roman"/>
          <w:sz w:val="24"/>
          <w:szCs w:val="24"/>
        </w:rPr>
        <w:t xml:space="preserve"> </w:t>
      </w:r>
      <w:r w:rsidRPr="004B0DA6">
        <w:rPr>
          <w:rFonts w:ascii="Times New Roman" w:hAnsi="Times New Roman" w:cs="Times New Roman"/>
          <w:sz w:val="24"/>
          <w:szCs w:val="24"/>
        </w:rPr>
        <w:t xml:space="preserve">for the State of North Carolina.  The State’s </w:t>
      </w:r>
      <w:r w:rsidR="00ED3106" w:rsidRPr="004B0DA6">
        <w:rPr>
          <w:rFonts w:ascii="Times New Roman" w:hAnsi="Times New Roman" w:cs="Times New Roman"/>
          <w:sz w:val="24"/>
          <w:szCs w:val="24"/>
        </w:rPr>
        <w:t>Annual Comprehensive Financial Report</w:t>
      </w:r>
      <w:r w:rsidR="0004624E" w:rsidRPr="004B0DA6">
        <w:rPr>
          <w:rFonts w:ascii="Times New Roman" w:hAnsi="Times New Roman" w:cs="Times New Roman"/>
          <w:sz w:val="24"/>
          <w:szCs w:val="24"/>
        </w:rPr>
        <w:t xml:space="preserve"> </w:t>
      </w:r>
      <w:r w:rsidRPr="004B0DA6">
        <w:rPr>
          <w:rFonts w:ascii="Times New Roman" w:hAnsi="Times New Roman" w:cs="Times New Roman"/>
          <w:sz w:val="24"/>
          <w:szCs w:val="24"/>
        </w:rPr>
        <w:t>includes the pension trust fund financial statements for the Internal Revenue Code Section 401(k) plan that includes the Supplemental Retirement Income Plan for Law Enforcement Officers.  That report may be obtained by writing to the Office of the State Controller, 1410 Mail Service Center, Raleigh, North Carolina 27699-1410, or by calling (919) 981-5454.</w:t>
      </w:r>
    </w:p>
    <w:p w14:paraId="455A8A96" w14:textId="32BC590E" w:rsidR="0056179C" w:rsidRPr="004B0DA6" w:rsidRDefault="0056179C" w:rsidP="00203597">
      <w:pPr>
        <w:spacing w:after="0"/>
        <w:jc w:val="both"/>
        <w:rPr>
          <w:rFonts w:ascii="Times New Roman" w:hAnsi="Times New Roman" w:cs="Times New Roman"/>
          <w:sz w:val="24"/>
          <w:szCs w:val="24"/>
          <w:highlight w:val="yellow"/>
        </w:rPr>
      </w:pPr>
      <w:r w:rsidRPr="004B0DA6">
        <w:rPr>
          <w:rFonts w:ascii="Times New Roman" w:hAnsi="Times New Roman" w:cs="Times New Roman"/>
          <w:i/>
          <w:sz w:val="24"/>
          <w:szCs w:val="24"/>
        </w:rPr>
        <w:lastRenderedPageBreak/>
        <w:t>Funding Policy.</w:t>
      </w:r>
      <w:r w:rsidRPr="004B0DA6">
        <w:rPr>
          <w:rFonts w:ascii="Times New Roman" w:hAnsi="Times New Roman" w:cs="Times New Roman"/>
          <w:sz w:val="24"/>
          <w:szCs w:val="24"/>
        </w:rPr>
        <w:t xml:space="preserve">  Article 12E of G.S. Chapter 143 requires the City to contribute each month an amount equal to five percent of each officer's salary, and all amounts contributed are vested immediately.  The law enforcement officers may also make voluntary contributions to the plan.  </w:t>
      </w:r>
    </w:p>
    <w:p w14:paraId="774B4D74" w14:textId="7EB1374A"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City made contributions of $20,000 for the reporting year. No amounts were forfeited.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9"/>
      </w:tblGrid>
      <w:tr w:rsidR="0056179C" w:rsidRPr="004B0DA6" w14:paraId="2B29C1FE" w14:textId="77777777" w:rsidTr="00F9386B">
        <w:tc>
          <w:tcPr>
            <w:tcW w:w="9029"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1EE75161" w14:textId="77777777" w:rsidR="0056179C" w:rsidRPr="004B0DA6" w:rsidRDefault="0056179C" w:rsidP="00203597">
            <w:pPr>
              <w:keepNext/>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If a local government or public authority has elected to contribute to the Supplemental Retirement Income Plan for general employees as well as for law enforcement officers, that information should be disclosed here.</w:t>
            </w:r>
          </w:p>
        </w:tc>
      </w:tr>
    </w:tbl>
    <w:p w14:paraId="7C03F93F" w14:textId="77777777" w:rsidR="0056179C" w:rsidRPr="004B0DA6" w:rsidRDefault="0056179C" w:rsidP="00203597">
      <w:pPr>
        <w:spacing w:after="0"/>
        <w:jc w:val="both"/>
        <w:rPr>
          <w:rFonts w:ascii="Times New Roman" w:hAnsi="Times New Roman" w:cs="Times New Roman"/>
          <w:sz w:val="24"/>
        </w:rPr>
      </w:pPr>
    </w:p>
    <w:p w14:paraId="3F7DED22" w14:textId="5308A09A" w:rsidR="0056179C" w:rsidRPr="004B0DA6" w:rsidRDefault="0056179C" w:rsidP="00F8523D">
      <w:pPr>
        <w:pStyle w:val="ListParagraph"/>
        <w:numPr>
          <w:ilvl w:val="0"/>
          <w:numId w:val="29"/>
        </w:numPr>
        <w:jc w:val="both"/>
        <w:rPr>
          <w:u w:val="single"/>
        </w:rPr>
      </w:pPr>
      <w:r w:rsidRPr="004B0DA6">
        <w:rPr>
          <w:u w:val="single"/>
        </w:rPr>
        <w:t>Firefighters’ and Rescue Squad Workers’ Pension Fund</w:t>
      </w:r>
    </w:p>
    <w:p w14:paraId="7AA625E4" w14:textId="77777777" w:rsidR="00F8523D" w:rsidRPr="004B0DA6" w:rsidRDefault="00F8523D" w:rsidP="00F8523D">
      <w:pPr>
        <w:pStyle w:val="ListParagraph"/>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9"/>
      </w:tblGrid>
      <w:tr w:rsidR="0056179C" w:rsidRPr="004B0DA6" w14:paraId="4CA58F00" w14:textId="77777777" w:rsidTr="00F9386B">
        <w:tc>
          <w:tcPr>
            <w:tcW w:w="9029"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3E93F187" w14:textId="7F310362" w:rsidR="0056179C" w:rsidRPr="004B0DA6" w:rsidRDefault="0056179C" w:rsidP="00203597">
            <w:pPr>
              <w:tabs>
                <w:tab w:val="right" w:pos="9360"/>
              </w:tabs>
              <w:spacing w:before="301"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xml:space="preserve">: </w:t>
            </w:r>
            <w:hyperlink r:id="rId59" w:history="1">
              <w:r w:rsidR="00993C81" w:rsidRPr="004B0DA6">
                <w:rPr>
                  <w:rFonts w:ascii="Times New Roman" w:hAnsi="Times New Roman" w:cs="Times New Roman"/>
                  <w:color w:val="0000FF"/>
                  <w:sz w:val="24"/>
                  <w:szCs w:val="24"/>
                  <w:highlight w:val="yellow"/>
                  <w:u w:val="single"/>
                </w:rPr>
                <w:t>Memorandum #2025-01</w:t>
              </w:r>
            </w:hyperlink>
            <w:r w:rsidR="00382B90" w:rsidRPr="004B0DA6">
              <w:rPr>
                <w:rFonts w:ascii="Times New Roman" w:hAnsi="Times New Roman" w:cs="Times New Roman"/>
                <w:sz w:val="24"/>
                <w:szCs w:val="24"/>
                <w:highlight w:val="yellow"/>
              </w:rPr>
              <w:t>, “Firefighter’s and Rescue Squad Workers’ Pension Fund Disclosure Amounts” on the DST website provides the information to make the required Firefighters’ Plan disclosures.</w:t>
            </w:r>
            <w:r w:rsidR="000005C8" w:rsidRPr="004B0DA6">
              <w:rPr>
                <w:rFonts w:ascii="Times New Roman" w:hAnsi="Times New Roman" w:cs="Times New Roman"/>
                <w:sz w:val="24"/>
                <w:szCs w:val="24"/>
                <w:highlight w:val="yellow"/>
              </w:rPr>
              <w:t xml:space="preserve"> </w:t>
            </w:r>
          </w:p>
        </w:tc>
      </w:tr>
    </w:tbl>
    <w:p w14:paraId="066BCD5E" w14:textId="77777777" w:rsidR="0056179C" w:rsidRPr="004B0DA6" w:rsidRDefault="0056179C" w:rsidP="00203597">
      <w:pPr>
        <w:spacing w:after="0"/>
        <w:jc w:val="both"/>
        <w:rPr>
          <w:rFonts w:ascii="Times New Roman" w:hAnsi="Times New Roman" w:cs="Times New Roman"/>
          <w:sz w:val="24"/>
          <w:szCs w:val="24"/>
        </w:rPr>
      </w:pPr>
    </w:p>
    <w:p w14:paraId="020901EC" w14:textId="76A3F95F"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i/>
          <w:sz w:val="24"/>
          <w:szCs w:val="24"/>
        </w:rPr>
        <w:t>Plan Description.</w:t>
      </w:r>
      <w:r w:rsidRPr="004B0DA6">
        <w:rPr>
          <w:rFonts w:ascii="Times New Roman" w:hAnsi="Times New Roman" w:cs="Times New Roman"/>
          <w:sz w:val="24"/>
          <w:szCs w:val="24"/>
        </w:rPr>
        <w:t xml:space="preserve">  The State of North Carolina contributes, on behalf of the City of Dogwood, to the Firefighters’ and Rescue Squad Workers’ Pension Fund (FRSWPF), a cost-sharing multiple-employer defined benefit pension plan with a special funding situation administered by the State of North Carolina.  FRSWPF provides pension benefits for eligible fire and rescue squad workers who have elected to become members of the fund.  Article 86 of G.S. Chapter 58 assigns the authority to establish and amend benefit provisions to the North Carolina General Assembly.  Management of the plan is vested in the LGERS Board of Trustees, which consists of 13 members – nine appointed by the Governor, one appointed by the state Senate, one appointed by the state House of Representatives, and the State Treasurer and State Superintendent, who serve as ex-officio members.  The Firefighters’ and Rescue Squad Workers’ Pension Fund is included in the </w:t>
      </w:r>
      <w:r w:rsidR="00ED3106" w:rsidRPr="004B0DA6">
        <w:rPr>
          <w:rFonts w:ascii="Times New Roman" w:hAnsi="Times New Roman" w:cs="Times New Roman"/>
          <w:sz w:val="24"/>
          <w:szCs w:val="24"/>
        </w:rPr>
        <w:t>Annual Comprehensive Financial Report</w:t>
      </w:r>
      <w:r w:rsidR="00C70A79" w:rsidRPr="004B0DA6">
        <w:rPr>
          <w:rFonts w:ascii="Times New Roman" w:hAnsi="Times New Roman" w:cs="Times New Roman"/>
          <w:sz w:val="24"/>
          <w:szCs w:val="24"/>
        </w:rPr>
        <w:t xml:space="preserve"> (ACFR)</w:t>
      </w:r>
      <w:r w:rsidR="0004624E" w:rsidRPr="004B0DA6">
        <w:rPr>
          <w:rFonts w:ascii="Times New Roman" w:hAnsi="Times New Roman" w:cs="Times New Roman"/>
          <w:sz w:val="24"/>
          <w:szCs w:val="24"/>
        </w:rPr>
        <w:t xml:space="preserve"> </w:t>
      </w:r>
      <w:r w:rsidRPr="004B0DA6">
        <w:rPr>
          <w:rFonts w:ascii="Times New Roman" w:hAnsi="Times New Roman" w:cs="Times New Roman"/>
          <w:sz w:val="24"/>
          <w:szCs w:val="24"/>
        </w:rPr>
        <w:t xml:space="preserve">for the State of North Carolina.  The State’s </w:t>
      </w:r>
      <w:r w:rsidR="00ED3106" w:rsidRPr="004B0DA6">
        <w:rPr>
          <w:rFonts w:ascii="Times New Roman" w:hAnsi="Times New Roman" w:cs="Times New Roman"/>
          <w:sz w:val="24"/>
          <w:szCs w:val="24"/>
        </w:rPr>
        <w:t>Annual Comprehensive Financial Report</w:t>
      </w:r>
      <w:r w:rsidR="00C70A79" w:rsidRPr="004B0DA6">
        <w:rPr>
          <w:rFonts w:ascii="Times New Roman" w:hAnsi="Times New Roman" w:cs="Times New Roman"/>
          <w:sz w:val="24"/>
          <w:szCs w:val="24"/>
        </w:rPr>
        <w:t xml:space="preserve"> (ACFR)</w:t>
      </w:r>
      <w:r w:rsidR="0004624E" w:rsidRPr="004B0DA6">
        <w:rPr>
          <w:rFonts w:ascii="Times New Roman" w:hAnsi="Times New Roman" w:cs="Times New Roman"/>
          <w:sz w:val="24"/>
          <w:szCs w:val="24"/>
        </w:rPr>
        <w:t xml:space="preserve"> </w:t>
      </w:r>
      <w:r w:rsidRPr="004B0DA6">
        <w:rPr>
          <w:rFonts w:ascii="Times New Roman" w:hAnsi="Times New Roman" w:cs="Times New Roman"/>
          <w:sz w:val="24"/>
          <w:szCs w:val="24"/>
        </w:rPr>
        <w:t>includes financial statements and required supplementary information for the Firefighters’ and Rescue Squad Workers’ Pension Fund.  That report may be obtained by writing to the Office of the State Controller, 1410 Mail Service Center, Raleigh, North Carolina 27699-1410, by calling (919) 981-5454, or at www.osc.nc.gov.</w:t>
      </w:r>
    </w:p>
    <w:p w14:paraId="390DAFE1" w14:textId="77777777" w:rsidR="00F8523D" w:rsidRPr="004B0DA6" w:rsidRDefault="00F8523D" w:rsidP="00203597">
      <w:pPr>
        <w:spacing w:after="0"/>
        <w:jc w:val="both"/>
        <w:rPr>
          <w:rFonts w:ascii="Times New Roman" w:hAnsi="Times New Roman" w:cs="Times New Roman"/>
          <w:i/>
          <w:sz w:val="24"/>
          <w:szCs w:val="24"/>
        </w:rPr>
      </w:pPr>
    </w:p>
    <w:p w14:paraId="45846765" w14:textId="69A6A4D0"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i/>
          <w:sz w:val="24"/>
          <w:szCs w:val="24"/>
        </w:rPr>
        <w:t>Benefits Provided</w:t>
      </w:r>
      <w:r w:rsidRPr="004B0DA6">
        <w:rPr>
          <w:rFonts w:ascii="Times New Roman" w:hAnsi="Times New Roman" w:cs="Times New Roman"/>
          <w:sz w:val="24"/>
          <w:szCs w:val="24"/>
        </w:rPr>
        <w:t>.  FRSWPF provides retirement and survivor benefits.  The present retirement benefit is $170 per month.  Plan members are eligible to receive the monthly benefit at age 55 with 20 years of creditable service as a firefighter or rescue squad worker and have terminated duties as a firefighter or rescue squad worker.  Eligible beneficiaries of members who die before beginning to receive the benefit will receive the amount paid by the member and contributions paid on the member’s behalf into the plan. Eligible beneficiaries of members who die after beginning to receive benefits will be paid the amount the member contributed minus the benefits collected.</w:t>
      </w:r>
    </w:p>
    <w:p w14:paraId="5D2020F1" w14:textId="77777777" w:rsidR="00F8523D" w:rsidRPr="004B0DA6" w:rsidRDefault="00F8523D" w:rsidP="00203597">
      <w:pPr>
        <w:spacing w:after="0"/>
        <w:jc w:val="both"/>
        <w:rPr>
          <w:rFonts w:ascii="Times New Roman" w:hAnsi="Times New Roman" w:cs="Times New Roman"/>
          <w:i/>
          <w:sz w:val="24"/>
          <w:szCs w:val="24"/>
        </w:rPr>
      </w:pPr>
    </w:p>
    <w:p w14:paraId="4B5D0AF0" w14:textId="165BCE26"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i/>
          <w:sz w:val="24"/>
          <w:szCs w:val="24"/>
        </w:rPr>
        <w:t>Contributions</w:t>
      </w:r>
      <w:r w:rsidRPr="004B0DA6">
        <w:rPr>
          <w:rFonts w:ascii="Times New Roman" w:hAnsi="Times New Roman" w:cs="Times New Roman"/>
          <w:sz w:val="24"/>
          <w:szCs w:val="24"/>
        </w:rPr>
        <w:t>.  Plan members are required to contribute $</w:t>
      </w:r>
      <w:r w:rsidR="00601C32" w:rsidRPr="004B0DA6">
        <w:rPr>
          <w:rFonts w:ascii="Times New Roman" w:hAnsi="Times New Roman" w:cs="Times New Roman"/>
          <w:sz w:val="24"/>
          <w:szCs w:val="24"/>
        </w:rPr>
        <w:t>xx</w:t>
      </w:r>
      <w:r w:rsidRPr="004B0DA6">
        <w:rPr>
          <w:rFonts w:ascii="Times New Roman" w:hAnsi="Times New Roman" w:cs="Times New Roman"/>
          <w:sz w:val="24"/>
          <w:szCs w:val="24"/>
        </w:rPr>
        <w:t xml:space="preserve"> per month to the plan.  The State, a non-employer contributor, funds the plan through appropriations.  The City does not contribute to </w:t>
      </w:r>
      <w:r w:rsidRPr="004B0DA6">
        <w:rPr>
          <w:rFonts w:ascii="Times New Roman" w:hAnsi="Times New Roman" w:cs="Times New Roman"/>
          <w:sz w:val="24"/>
          <w:szCs w:val="24"/>
        </w:rPr>
        <w:lastRenderedPageBreak/>
        <w:t xml:space="preserve">the plan.  Contribution provisions are established by General Statute 58-86 and may be amended only by the North Carolina General Assembly.  For the fiscal year ending June 30, </w:t>
      </w:r>
      <w:r w:rsidR="00A85B23" w:rsidRPr="004B0DA6">
        <w:rPr>
          <w:rFonts w:ascii="Times New Roman" w:hAnsi="Times New Roman" w:cs="Times New Roman"/>
          <w:sz w:val="24"/>
          <w:szCs w:val="24"/>
        </w:rPr>
        <w:t>202</w:t>
      </w:r>
      <w:r w:rsidR="008315CC" w:rsidRPr="004B0DA6">
        <w:rPr>
          <w:rFonts w:ascii="Times New Roman" w:hAnsi="Times New Roman" w:cs="Times New Roman"/>
          <w:sz w:val="24"/>
          <w:szCs w:val="24"/>
        </w:rPr>
        <w:t>4</w:t>
      </w:r>
      <w:r w:rsidRPr="004B0DA6">
        <w:rPr>
          <w:rFonts w:ascii="Times New Roman" w:hAnsi="Times New Roman" w:cs="Times New Roman"/>
          <w:sz w:val="24"/>
          <w:szCs w:val="24"/>
        </w:rPr>
        <w:t>, the State contributed $</w:t>
      </w:r>
      <w:r w:rsidR="00601C32" w:rsidRPr="004B0DA6">
        <w:rPr>
          <w:rFonts w:ascii="Times New Roman" w:hAnsi="Times New Roman" w:cs="Times New Roman"/>
          <w:sz w:val="24"/>
          <w:szCs w:val="24"/>
        </w:rPr>
        <w:t>xxx</w:t>
      </w:r>
      <w:r w:rsidRPr="004B0DA6">
        <w:rPr>
          <w:rFonts w:ascii="Times New Roman" w:hAnsi="Times New Roman" w:cs="Times New Roman"/>
          <w:sz w:val="24"/>
          <w:szCs w:val="24"/>
        </w:rPr>
        <w:t>,</w:t>
      </w:r>
      <w:r w:rsidR="00601C32" w:rsidRPr="004B0DA6">
        <w:rPr>
          <w:rFonts w:ascii="Times New Roman" w:hAnsi="Times New Roman" w:cs="Times New Roman"/>
          <w:sz w:val="24"/>
          <w:szCs w:val="24"/>
        </w:rPr>
        <w:t>xxx</w:t>
      </w:r>
      <w:r w:rsidRPr="004B0DA6">
        <w:rPr>
          <w:rFonts w:ascii="Times New Roman" w:hAnsi="Times New Roman" w:cs="Times New Roman"/>
          <w:sz w:val="24"/>
          <w:szCs w:val="24"/>
        </w:rPr>
        <w:t>,</w:t>
      </w:r>
      <w:r w:rsidR="00601C32" w:rsidRPr="004B0DA6">
        <w:rPr>
          <w:rFonts w:ascii="Times New Roman" w:hAnsi="Times New Roman" w:cs="Times New Roman"/>
          <w:sz w:val="24"/>
          <w:szCs w:val="24"/>
        </w:rPr>
        <w:t>xxx</w:t>
      </w:r>
      <w:r w:rsidRPr="004B0DA6">
        <w:rPr>
          <w:rFonts w:ascii="Times New Roman" w:hAnsi="Times New Roman" w:cs="Times New Roman"/>
          <w:sz w:val="24"/>
          <w:szCs w:val="24"/>
        </w:rPr>
        <w:t xml:space="preserve"> to the plan.  The City of Dogwood’s proportionate share of the State’s contribution is $</w:t>
      </w:r>
      <w:r w:rsidR="00601C32" w:rsidRPr="004B0DA6">
        <w:rPr>
          <w:rFonts w:ascii="Times New Roman" w:hAnsi="Times New Roman" w:cs="Times New Roman"/>
          <w:sz w:val="24"/>
          <w:szCs w:val="24"/>
        </w:rPr>
        <w:t>x</w:t>
      </w:r>
      <w:r w:rsidRPr="004B0DA6">
        <w:rPr>
          <w:rFonts w:ascii="Times New Roman" w:hAnsi="Times New Roman" w:cs="Times New Roman"/>
          <w:sz w:val="24"/>
          <w:szCs w:val="24"/>
        </w:rPr>
        <w:t>,</w:t>
      </w:r>
      <w:r w:rsidR="00601C32" w:rsidRPr="004B0DA6">
        <w:rPr>
          <w:rFonts w:ascii="Times New Roman" w:hAnsi="Times New Roman" w:cs="Times New Roman"/>
          <w:sz w:val="24"/>
          <w:szCs w:val="24"/>
        </w:rPr>
        <w:t>xxx</w:t>
      </w:r>
      <w:r w:rsidRPr="004B0DA6">
        <w:rPr>
          <w:rFonts w:ascii="Times New Roman" w:hAnsi="Times New Roman" w:cs="Times New Roman"/>
          <w:sz w:val="24"/>
          <w:szCs w:val="24"/>
        </w:rPr>
        <w:t>.</w:t>
      </w:r>
    </w:p>
    <w:p w14:paraId="4D9EE1CA" w14:textId="77777777" w:rsidR="00F8523D" w:rsidRPr="004B0DA6" w:rsidRDefault="00F8523D" w:rsidP="00203597">
      <w:pPr>
        <w:spacing w:after="0"/>
        <w:jc w:val="both"/>
        <w:rPr>
          <w:rFonts w:ascii="Times New Roman" w:hAnsi="Times New Roman" w:cs="Times New Roman"/>
          <w:i/>
          <w:sz w:val="24"/>
          <w:szCs w:val="24"/>
        </w:rPr>
      </w:pPr>
    </w:p>
    <w:p w14:paraId="4B797679" w14:textId="6E73054A"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i/>
          <w:sz w:val="24"/>
          <w:szCs w:val="24"/>
        </w:rPr>
        <w:t>Refunds of Contributions</w:t>
      </w:r>
      <w:r w:rsidRPr="004B0DA6">
        <w:rPr>
          <w:rFonts w:ascii="Times New Roman" w:hAnsi="Times New Roman" w:cs="Times New Roman"/>
          <w:sz w:val="24"/>
          <w:szCs w:val="24"/>
        </w:rPr>
        <w:t xml:space="preserve"> – Plan members who are no longer eligible or choose not to participate in the plan may file an application for a refund of their contributions.  Refunds include the member’s contributions and contributions paid by others on the member’s behalf.  No interest will be paid on the amount of the refund.  The acceptance of a refund payment cancels the individual’s right to employer contributions, or any other benefit provided by FRSWPF.</w:t>
      </w:r>
    </w:p>
    <w:p w14:paraId="0DC2DF45" w14:textId="77777777" w:rsidR="0056179C" w:rsidRPr="004B0DA6" w:rsidRDefault="0056179C" w:rsidP="00203597">
      <w:pPr>
        <w:spacing w:after="0"/>
        <w:jc w:val="both"/>
        <w:rPr>
          <w:rFonts w:ascii="Times New Roman" w:hAnsi="Times New Roman" w:cs="Times New Roman"/>
          <w:sz w:val="24"/>
        </w:rPr>
      </w:pPr>
    </w:p>
    <w:p w14:paraId="6BE55C10" w14:textId="41ED570F" w:rsidR="0056179C" w:rsidRPr="004B0DA6" w:rsidRDefault="0056179C" w:rsidP="00203597">
      <w:pPr>
        <w:keepNext/>
        <w:spacing w:after="0"/>
        <w:jc w:val="both"/>
        <w:rPr>
          <w:rFonts w:ascii="Times New Roman" w:hAnsi="Times New Roman" w:cs="Times New Roman"/>
          <w:b/>
          <w:i/>
          <w:sz w:val="24"/>
        </w:rPr>
      </w:pPr>
      <w:r w:rsidRPr="004B0DA6">
        <w:rPr>
          <w:rFonts w:ascii="Times New Roman" w:hAnsi="Times New Roman" w:cs="Times New Roman"/>
          <w:b/>
          <w:i/>
          <w:sz w:val="24"/>
        </w:rPr>
        <w:t>Pension Liabilities, Pension Expense, and Deferred Outflows of Resources and Deferred Inflows of Resources Related to Pensions</w:t>
      </w:r>
    </w:p>
    <w:p w14:paraId="00432535" w14:textId="77777777" w:rsidR="00F8523D" w:rsidRPr="004B0DA6" w:rsidRDefault="00F8523D" w:rsidP="00203597">
      <w:pPr>
        <w:keepNext/>
        <w:spacing w:after="0"/>
        <w:jc w:val="both"/>
        <w:rPr>
          <w:rFonts w:ascii="Times New Roman" w:hAnsi="Times New Roman" w:cs="Times New Roman"/>
          <w:sz w:val="24"/>
        </w:rPr>
      </w:pPr>
    </w:p>
    <w:p w14:paraId="65669C41" w14:textId="43AEA47B" w:rsidR="0056179C" w:rsidRPr="004B0DA6" w:rsidRDefault="0056179C" w:rsidP="00203597">
      <w:pPr>
        <w:keepNext/>
        <w:spacing w:after="0"/>
        <w:jc w:val="both"/>
        <w:rPr>
          <w:rFonts w:ascii="Times New Roman" w:hAnsi="Times New Roman" w:cs="Times New Roman"/>
          <w:sz w:val="24"/>
        </w:rPr>
      </w:pPr>
      <w:r w:rsidRPr="004B0DA6">
        <w:rPr>
          <w:rFonts w:ascii="Times New Roman" w:hAnsi="Times New Roman" w:cs="Times New Roman"/>
          <w:sz w:val="24"/>
        </w:rPr>
        <w:t xml:space="preserve">At June 30, </w:t>
      </w:r>
      <w:r w:rsidR="00A85B23" w:rsidRPr="004B0DA6">
        <w:rPr>
          <w:rFonts w:ascii="Times New Roman" w:hAnsi="Times New Roman" w:cs="Times New Roman"/>
          <w:sz w:val="24"/>
        </w:rPr>
        <w:t>202</w:t>
      </w:r>
      <w:r w:rsidR="008315CC" w:rsidRPr="004B0DA6">
        <w:rPr>
          <w:rFonts w:ascii="Times New Roman" w:hAnsi="Times New Roman" w:cs="Times New Roman"/>
          <w:sz w:val="24"/>
        </w:rPr>
        <w:t>4</w:t>
      </w:r>
      <w:r w:rsidRPr="004B0DA6">
        <w:rPr>
          <w:rFonts w:ascii="Times New Roman" w:hAnsi="Times New Roman" w:cs="Times New Roman"/>
          <w:sz w:val="24"/>
        </w:rPr>
        <w:t xml:space="preserve">, the City reported no liability for its proportionate share of the net pension liability, as the State provides 100% pension support to the City through its appropriations to the FRSWPF.  The total portion of the net pension liability that was associated with the City and supported by the State was $10,228.  The net pension liability was measured as of June 30, </w:t>
      </w:r>
      <w:r w:rsidR="00907F65" w:rsidRPr="004B0DA6">
        <w:rPr>
          <w:rFonts w:ascii="Times New Roman" w:hAnsi="Times New Roman" w:cs="Times New Roman"/>
          <w:sz w:val="24"/>
        </w:rPr>
        <w:t>202</w:t>
      </w:r>
      <w:r w:rsidR="008315CC" w:rsidRPr="004B0DA6">
        <w:rPr>
          <w:rFonts w:ascii="Times New Roman" w:hAnsi="Times New Roman" w:cs="Times New Roman"/>
          <w:sz w:val="24"/>
        </w:rPr>
        <w:t>3</w:t>
      </w:r>
      <w:r w:rsidRPr="004B0DA6">
        <w:rPr>
          <w:rFonts w:ascii="Times New Roman" w:hAnsi="Times New Roman" w:cs="Times New Roman"/>
          <w:sz w:val="24"/>
        </w:rPr>
        <w:t xml:space="preserve">.  The total pension liability used to calculate the net pension liability was determined by an actuarial valuation as of December 31, </w:t>
      </w:r>
      <w:r w:rsidR="00907F65" w:rsidRPr="004B0DA6">
        <w:rPr>
          <w:rFonts w:ascii="Times New Roman" w:hAnsi="Times New Roman" w:cs="Times New Roman"/>
          <w:sz w:val="24"/>
        </w:rPr>
        <w:t>202</w:t>
      </w:r>
      <w:r w:rsidR="008315CC" w:rsidRPr="004B0DA6">
        <w:rPr>
          <w:rFonts w:ascii="Times New Roman" w:hAnsi="Times New Roman" w:cs="Times New Roman"/>
          <w:sz w:val="24"/>
        </w:rPr>
        <w:t>2</w:t>
      </w:r>
      <w:r w:rsidRPr="004B0DA6">
        <w:rPr>
          <w:rFonts w:ascii="Times New Roman" w:hAnsi="Times New Roman" w:cs="Times New Roman"/>
          <w:sz w:val="24"/>
        </w:rPr>
        <w:t xml:space="preserve">.  The total pension liability was then rolled forward to the measurement date of June 30, </w:t>
      </w:r>
      <w:r w:rsidR="00907F65" w:rsidRPr="004B0DA6">
        <w:rPr>
          <w:rFonts w:ascii="Times New Roman" w:hAnsi="Times New Roman" w:cs="Times New Roman"/>
          <w:sz w:val="24"/>
        </w:rPr>
        <w:t>202</w:t>
      </w:r>
      <w:r w:rsidR="008315CC" w:rsidRPr="004B0DA6">
        <w:rPr>
          <w:rFonts w:ascii="Times New Roman" w:hAnsi="Times New Roman" w:cs="Times New Roman"/>
          <w:sz w:val="24"/>
        </w:rPr>
        <w:t>3</w:t>
      </w:r>
      <w:r w:rsidRPr="004B0DA6">
        <w:rPr>
          <w:rFonts w:ascii="Times New Roman" w:hAnsi="Times New Roman" w:cs="Times New Roman"/>
          <w:sz w:val="24"/>
        </w:rPr>
        <w:t xml:space="preserve">, utilizing update procedures incorporating the actuarial assumptions.  The City’s proportion of the net pension liability was based on a projection of the City’s long-term share of contributions to the pension plan relative to the projected contributions of all participating employers.  As the City is not projected to make any future contributions to the plan, its proportionate share at June 30, </w:t>
      </w:r>
      <w:r w:rsidR="00A85B23" w:rsidRPr="004B0DA6">
        <w:rPr>
          <w:rFonts w:ascii="Times New Roman" w:hAnsi="Times New Roman" w:cs="Times New Roman"/>
          <w:sz w:val="24"/>
        </w:rPr>
        <w:t>202</w:t>
      </w:r>
      <w:r w:rsidR="008315CC" w:rsidRPr="004B0DA6">
        <w:rPr>
          <w:rFonts w:ascii="Times New Roman" w:hAnsi="Times New Roman" w:cs="Times New Roman"/>
          <w:sz w:val="24"/>
        </w:rPr>
        <w:t>4</w:t>
      </w:r>
      <w:r w:rsidRPr="004B0DA6">
        <w:rPr>
          <w:rFonts w:ascii="Times New Roman" w:hAnsi="Times New Roman" w:cs="Times New Roman"/>
          <w:sz w:val="24"/>
        </w:rPr>
        <w:t xml:space="preserve">, and at June 30, </w:t>
      </w:r>
      <w:r w:rsidR="00907F65" w:rsidRPr="004B0DA6">
        <w:rPr>
          <w:rFonts w:ascii="Times New Roman" w:hAnsi="Times New Roman" w:cs="Times New Roman"/>
          <w:sz w:val="24"/>
        </w:rPr>
        <w:t>202</w:t>
      </w:r>
      <w:r w:rsidR="008315CC" w:rsidRPr="004B0DA6">
        <w:rPr>
          <w:rFonts w:ascii="Times New Roman" w:hAnsi="Times New Roman" w:cs="Times New Roman"/>
          <w:sz w:val="24"/>
        </w:rPr>
        <w:t>3</w:t>
      </w:r>
      <w:r w:rsidRPr="004B0DA6">
        <w:rPr>
          <w:rFonts w:ascii="Times New Roman" w:hAnsi="Times New Roman" w:cs="Times New Roman"/>
          <w:sz w:val="24"/>
        </w:rPr>
        <w:t>, was 0%.</w:t>
      </w:r>
    </w:p>
    <w:p w14:paraId="12FD4256" w14:textId="0A04AAFC"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xml:space="preserve">For the year ended June 30, </w:t>
      </w:r>
      <w:r w:rsidR="00A85B23" w:rsidRPr="004B0DA6">
        <w:rPr>
          <w:rFonts w:ascii="Times New Roman" w:hAnsi="Times New Roman" w:cs="Times New Roman"/>
          <w:sz w:val="24"/>
        </w:rPr>
        <w:t>202</w:t>
      </w:r>
      <w:r w:rsidR="008315CC" w:rsidRPr="004B0DA6">
        <w:rPr>
          <w:rFonts w:ascii="Times New Roman" w:hAnsi="Times New Roman" w:cs="Times New Roman"/>
          <w:sz w:val="24"/>
        </w:rPr>
        <w:t>4</w:t>
      </w:r>
      <w:r w:rsidRPr="004B0DA6">
        <w:rPr>
          <w:rFonts w:ascii="Times New Roman" w:hAnsi="Times New Roman" w:cs="Times New Roman"/>
          <w:sz w:val="24"/>
        </w:rPr>
        <w:t>, the City recognized pension expense of $</w:t>
      </w:r>
      <w:r w:rsidR="00601C32" w:rsidRPr="004B0DA6">
        <w:rPr>
          <w:rFonts w:ascii="Times New Roman" w:hAnsi="Times New Roman" w:cs="Times New Roman"/>
          <w:sz w:val="24"/>
        </w:rPr>
        <w:t>x</w:t>
      </w:r>
      <w:r w:rsidRPr="004B0DA6">
        <w:rPr>
          <w:rFonts w:ascii="Times New Roman" w:hAnsi="Times New Roman" w:cs="Times New Roman"/>
          <w:sz w:val="24"/>
        </w:rPr>
        <w:t>,</w:t>
      </w:r>
      <w:r w:rsidR="00601C32" w:rsidRPr="004B0DA6">
        <w:rPr>
          <w:rFonts w:ascii="Times New Roman" w:hAnsi="Times New Roman" w:cs="Times New Roman"/>
          <w:sz w:val="24"/>
        </w:rPr>
        <w:t>xxx</w:t>
      </w:r>
      <w:r w:rsidRPr="004B0DA6">
        <w:rPr>
          <w:rFonts w:ascii="Times New Roman" w:hAnsi="Times New Roman" w:cs="Times New Roman"/>
          <w:sz w:val="24"/>
        </w:rPr>
        <w:t xml:space="preserve"> and revenue of $</w:t>
      </w:r>
      <w:r w:rsidR="00601C32" w:rsidRPr="004B0DA6">
        <w:rPr>
          <w:rFonts w:ascii="Times New Roman" w:hAnsi="Times New Roman" w:cs="Times New Roman"/>
          <w:sz w:val="24"/>
        </w:rPr>
        <w:t>x,xxx</w:t>
      </w:r>
      <w:r w:rsidRPr="004B0DA6">
        <w:rPr>
          <w:rFonts w:ascii="Times New Roman" w:hAnsi="Times New Roman" w:cs="Times New Roman"/>
          <w:sz w:val="24"/>
        </w:rPr>
        <w:t xml:space="preserve"> for support provided by the State.  At June 30, </w:t>
      </w:r>
      <w:r w:rsidR="00A85B23" w:rsidRPr="004B0DA6">
        <w:rPr>
          <w:rFonts w:ascii="Times New Roman" w:hAnsi="Times New Roman" w:cs="Times New Roman"/>
          <w:sz w:val="24"/>
        </w:rPr>
        <w:t>202</w:t>
      </w:r>
      <w:r w:rsidR="008A1662" w:rsidRPr="004B0DA6">
        <w:rPr>
          <w:rFonts w:ascii="Times New Roman" w:hAnsi="Times New Roman" w:cs="Times New Roman"/>
          <w:sz w:val="24"/>
        </w:rPr>
        <w:t>4</w:t>
      </w:r>
      <w:r w:rsidRPr="004B0DA6">
        <w:rPr>
          <w:rFonts w:ascii="Times New Roman" w:hAnsi="Times New Roman" w:cs="Times New Roman"/>
          <w:sz w:val="24"/>
        </w:rPr>
        <w:t>, the City reported no deferred outflows of resources and no deferred inflows of resources related to pensions.</w:t>
      </w:r>
    </w:p>
    <w:p w14:paraId="62B647DE" w14:textId="77777777" w:rsidR="00F8523D" w:rsidRPr="004B0DA6" w:rsidRDefault="00F8523D" w:rsidP="00203597">
      <w:pPr>
        <w:spacing w:after="0"/>
        <w:jc w:val="both"/>
        <w:rPr>
          <w:rFonts w:ascii="Times New Roman" w:hAnsi="Times New Roman" w:cs="Times New Roman"/>
          <w:i/>
          <w:sz w:val="24"/>
        </w:rPr>
      </w:pPr>
    </w:p>
    <w:p w14:paraId="18E69EBB" w14:textId="702033DA"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i/>
          <w:sz w:val="24"/>
        </w:rPr>
        <w:t>Actuarial Assumptions.</w:t>
      </w:r>
      <w:r w:rsidRPr="004B0DA6">
        <w:rPr>
          <w:rFonts w:ascii="Times New Roman" w:hAnsi="Times New Roman" w:cs="Times New Roman"/>
          <w:sz w:val="24"/>
        </w:rPr>
        <w:t xml:space="preserve">  The total pension liability in the December 31, </w:t>
      </w:r>
      <w:r w:rsidR="00907F65" w:rsidRPr="004B0DA6">
        <w:rPr>
          <w:rFonts w:ascii="Times New Roman" w:hAnsi="Times New Roman" w:cs="Times New Roman"/>
          <w:sz w:val="24"/>
        </w:rPr>
        <w:t>202</w:t>
      </w:r>
      <w:r w:rsidR="008315CC" w:rsidRPr="004B0DA6">
        <w:rPr>
          <w:rFonts w:ascii="Times New Roman" w:hAnsi="Times New Roman" w:cs="Times New Roman"/>
          <w:sz w:val="24"/>
        </w:rPr>
        <w:t>3</w:t>
      </w:r>
      <w:r w:rsidRPr="004B0DA6">
        <w:rPr>
          <w:rFonts w:ascii="Times New Roman" w:hAnsi="Times New Roman" w:cs="Times New Roman"/>
          <w:sz w:val="24"/>
        </w:rPr>
        <w:t>, actuarial valuation was determined using the following actuarial assumptions, applied to all periods included in the measurement:</w:t>
      </w:r>
    </w:p>
    <w:p w14:paraId="62643C54" w14:textId="77777777" w:rsidR="0056179C" w:rsidRPr="004B0DA6" w:rsidRDefault="0056179C" w:rsidP="00203597">
      <w:pPr>
        <w:spacing w:after="0"/>
        <w:jc w:val="both"/>
        <w:rPr>
          <w:rFonts w:ascii="Times New Roman" w:hAnsi="Times New Roman" w:cs="Times New Roman"/>
          <w:sz w:val="24"/>
        </w:rPr>
      </w:pPr>
    </w:p>
    <w:bookmarkStart w:id="46" w:name="_MON_1488187109"/>
    <w:bookmarkEnd w:id="46"/>
    <w:p w14:paraId="6016AF7E" w14:textId="19BA3635" w:rsidR="00F8523D" w:rsidRPr="004B0DA6" w:rsidRDefault="00FD4E23" w:rsidP="00203597">
      <w:pPr>
        <w:spacing w:after="0"/>
        <w:jc w:val="both"/>
        <w:rPr>
          <w:rFonts w:ascii="Times New Roman" w:hAnsi="Times New Roman" w:cs="Times New Roman"/>
          <w:sz w:val="24"/>
          <w:szCs w:val="24"/>
        </w:rPr>
      </w:pPr>
      <w:r w:rsidRPr="004B0DA6">
        <w:rPr>
          <w:rFonts w:ascii="Times New Roman" w:hAnsi="Times New Roman" w:cs="Times New Roman"/>
          <w:sz w:val="24"/>
        </w:rPr>
        <w:object w:dxaOrig="8323" w:dyaOrig="1180" w14:anchorId="05E7EFBB">
          <v:shape id="_x0000_i1042" type="#_x0000_t75" style="width:416.25pt;height:59.25pt" o:ole="">
            <v:imagedata r:id="rId60" o:title=""/>
          </v:shape>
          <o:OLEObject Type="Embed" ProgID="Excel.Sheet.8" ShapeID="_x0000_i1042" DrawAspect="Content" ObjectID="_1793012034" r:id="rId61"/>
        </w:object>
      </w:r>
    </w:p>
    <w:p w14:paraId="7243B718" w14:textId="77777777" w:rsidR="00F8523D" w:rsidRPr="004B0DA6" w:rsidRDefault="00F8523D" w:rsidP="00203597">
      <w:pPr>
        <w:spacing w:after="0"/>
        <w:jc w:val="both"/>
        <w:rPr>
          <w:rFonts w:ascii="Times New Roman" w:hAnsi="Times New Roman" w:cs="Times New Roman"/>
          <w:sz w:val="24"/>
          <w:szCs w:val="24"/>
        </w:rPr>
      </w:pPr>
    </w:p>
    <w:p w14:paraId="33F6251F" w14:textId="61576ED4"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For more information regarding actuarial assumptions, including mortality tables, the actuarial experience study, the consideration of future ad hoc COLA amounts, the development of the projected long-term investment returns, and the asset allocation policy, refer to the discussion of actuarial assumptions for the LGERS plan in Section a. of this note. </w:t>
      </w:r>
    </w:p>
    <w:p w14:paraId="23E223EF" w14:textId="77777777" w:rsidR="00F8523D" w:rsidRPr="004B0DA6" w:rsidRDefault="00F8523D" w:rsidP="00203597">
      <w:pPr>
        <w:spacing w:after="0"/>
        <w:jc w:val="both"/>
        <w:rPr>
          <w:rFonts w:ascii="Times New Roman" w:hAnsi="Times New Roman" w:cs="Times New Roman"/>
          <w:i/>
          <w:sz w:val="24"/>
          <w:szCs w:val="24"/>
        </w:rPr>
      </w:pPr>
    </w:p>
    <w:p w14:paraId="28169B6C" w14:textId="2AD40C21"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i/>
          <w:sz w:val="24"/>
          <w:szCs w:val="24"/>
        </w:rPr>
        <w:lastRenderedPageBreak/>
        <w:t>Discount rate.</w:t>
      </w:r>
      <w:r w:rsidRPr="004B0DA6">
        <w:rPr>
          <w:rFonts w:ascii="Times New Roman" w:hAnsi="Times New Roman" w:cs="Times New Roman"/>
          <w:sz w:val="24"/>
          <w:szCs w:val="24"/>
        </w:rPr>
        <w:t xml:space="preserve">  The discount rate used to measure the total pension liability was </w:t>
      </w:r>
      <w:r w:rsidR="00FC04E4" w:rsidRPr="004B0DA6">
        <w:rPr>
          <w:rFonts w:ascii="Times New Roman" w:hAnsi="Times New Roman" w:cs="Times New Roman"/>
          <w:sz w:val="24"/>
          <w:szCs w:val="24"/>
        </w:rPr>
        <w:t>x.xx</w:t>
      </w:r>
      <w:r w:rsidRPr="004B0DA6">
        <w:rPr>
          <w:rFonts w:ascii="Times New Roman" w:hAnsi="Times New Roman" w:cs="Times New Roman"/>
          <w:sz w:val="24"/>
          <w:szCs w:val="24"/>
        </w:rPr>
        <w:t>%.  The projection of cash flows used to determine the discount rate assumed that contributions from plan members will be made at the current contribution rate and that contributions from employers will be made at statutorily required rates, actuarially determined.  Based on these assumptions, the pension plan’s fiduciary net position was projected to be available to make all projected future benefit payments of the current plan members.  Therefore, the long-term expected rate of return on pension plan investments was applied to all periods of projected benefit payments to determine the total pension liability.</w:t>
      </w:r>
    </w:p>
    <w:p w14:paraId="6EABD403" w14:textId="77777777" w:rsidR="00F8523D" w:rsidRPr="004B0DA6" w:rsidRDefault="00F8523D" w:rsidP="00203597">
      <w:pPr>
        <w:spacing w:after="0"/>
        <w:jc w:val="both"/>
        <w:rPr>
          <w:rFonts w:ascii="Times New Roman" w:hAnsi="Times New Roman" w:cs="Times New Roman"/>
          <w:i/>
          <w:sz w:val="24"/>
          <w:szCs w:val="24"/>
        </w:rPr>
      </w:pPr>
    </w:p>
    <w:p w14:paraId="12490C47" w14:textId="50F15832"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i/>
          <w:sz w:val="24"/>
          <w:szCs w:val="24"/>
        </w:rPr>
        <w:t>Pension plan fiduciary net position.</w:t>
      </w:r>
      <w:r w:rsidRPr="004B0DA6">
        <w:rPr>
          <w:rFonts w:ascii="Times New Roman" w:hAnsi="Times New Roman" w:cs="Times New Roman"/>
          <w:sz w:val="24"/>
          <w:szCs w:val="24"/>
        </w:rPr>
        <w:t xml:space="preserve">  Detailed information about the pension plan’s fiduciary net position is available in the separately issued </w:t>
      </w:r>
      <w:r w:rsidR="00ED3106" w:rsidRPr="004B0DA6">
        <w:rPr>
          <w:rFonts w:ascii="Times New Roman" w:hAnsi="Times New Roman" w:cs="Times New Roman"/>
          <w:sz w:val="24"/>
          <w:szCs w:val="24"/>
        </w:rPr>
        <w:t>Annual Comprehensive Financial Report</w:t>
      </w:r>
      <w:r w:rsidR="0004624E" w:rsidRPr="004B0DA6">
        <w:rPr>
          <w:rFonts w:ascii="Times New Roman" w:hAnsi="Times New Roman" w:cs="Times New Roman"/>
          <w:sz w:val="24"/>
          <w:szCs w:val="24"/>
        </w:rPr>
        <w:t xml:space="preserve"> </w:t>
      </w:r>
      <w:r w:rsidRPr="004B0DA6">
        <w:rPr>
          <w:rFonts w:ascii="Times New Roman" w:hAnsi="Times New Roman" w:cs="Times New Roman"/>
          <w:sz w:val="24"/>
          <w:szCs w:val="24"/>
        </w:rPr>
        <w:t>for the State of North Carolina.</w:t>
      </w:r>
    </w:p>
    <w:p w14:paraId="55D15F96" w14:textId="77777777" w:rsidR="00F8523D" w:rsidRPr="004B0DA6" w:rsidRDefault="00F8523D" w:rsidP="00203597">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56179C" w:rsidRPr="004B0DA6" w:rsidDel="00973A60" w14:paraId="26F44CC4" w14:textId="77777777" w:rsidTr="00F9386B">
        <w:tc>
          <w:tcPr>
            <w:tcW w:w="106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1768B4FF" w14:textId="77777777" w:rsidR="0056179C" w:rsidRPr="004B0DA6" w:rsidDel="00973A60" w:rsidRDefault="0056179C" w:rsidP="00203597">
            <w:pPr>
              <w:spacing w:after="0"/>
              <w:jc w:val="both"/>
              <w:rPr>
                <w:rFonts w:ascii="Times New Roman" w:hAnsi="Times New Roman" w:cs="Times New Roman"/>
                <w:bCs/>
                <w:sz w:val="24"/>
                <w:szCs w:val="24"/>
              </w:rPr>
            </w:pPr>
            <w:r w:rsidRPr="004B0DA6">
              <w:rPr>
                <w:rFonts w:ascii="Times New Roman" w:hAnsi="Times New Roman" w:cs="Times New Roman"/>
                <w:b/>
                <w:bCs/>
                <w:sz w:val="24"/>
                <w:szCs w:val="24"/>
              </w:rPr>
              <w:t xml:space="preserve">Note to preparer:  </w:t>
            </w:r>
            <w:r w:rsidRPr="004B0DA6">
              <w:rPr>
                <w:rFonts w:ascii="Times New Roman" w:hAnsi="Times New Roman" w:cs="Times New Roman"/>
                <w:bCs/>
                <w:sz w:val="24"/>
                <w:szCs w:val="24"/>
              </w:rPr>
              <w:t xml:space="preserve">If the State’s contribution on behalf of the unit of government is immaterial, no reference to the pension plan is needed – note disclosures and RSI can be excluded.  The FRSWP Schedule of Employer Contributions has been excluded from RSI for City of Dogwood because the City of Dogwood makes no contributions to the plan.  </w:t>
            </w:r>
          </w:p>
        </w:tc>
      </w:tr>
    </w:tbl>
    <w:p w14:paraId="0531C28A" w14:textId="77777777" w:rsidR="0056179C" w:rsidRPr="004B0DA6" w:rsidRDefault="0056179C" w:rsidP="00203597">
      <w:pPr>
        <w:spacing w:after="0"/>
        <w:rPr>
          <w:rFonts w:ascii="Times New Roman" w:hAnsi="Times New Roman" w:cs="Times New Roman"/>
        </w:rPr>
      </w:pPr>
    </w:p>
    <w:p w14:paraId="5BC84C5D" w14:textId="46900BEE" w:rsidR="0042444D" w:rsidRPr="004B0DA6" w:rsidRDefault="0056179C" w:rsidP="00203597">
      <w:pPr>
        <w:keepNext/>
        <w:spacing w:after="0"/>
        <w:rPr>
          <w:rFonts w:ascii="Times New Roman" w:hAnsi="Times New Roman" w:cs="Times New Roman"/>
          <w:sz w:val="24"/>
          <w:szCs w:val="24"/>
        </w:rPr>
      </w:pPr>
      <w:r w:rsidRPr="004B0DA6">
        <w:rPr>
          <w:rFonts w:ascii="Times New Roman" w:hAnsi="Times New Roman" w:cs="Times New Roman"/>
          <w:sz w:val="24"/>
          <w:szCs w:val="24"/>
        </w:rPr>
        <w:t xml:space="preserve">e. </w:t>
      </w:r>
      <w:r w:rsidRPr="004B0DA6">
        <w:rPr>
          <w:rFonts w:ascii="Times New Roman" w:hAnsi="Times New Roman" w:cs="Times New Roman"/>
          <w:sz w:val="24"/>
          <w:szCs w:val="24"/>
          <w:u w:val="single"/>
        </w:rPr>
        <w:t>Other Postemployment Benefit</w:t>
      </w:r>
      <w:r w:rsidR="00F8523D" w:rsidRPr="004B0DA6">
        <w:rPr>
          <w:rFonts w:ascii="Times New Roman" w:hAnsi="Times New Roman" w:cs="Times New Roman"/>
          <w:sz w:val="24"/>
          <w:szCs w:val="24"/>
        </w:rPr>
        <w:t xml:space="preserve"> </w:t>
      </w:r>
      <w:r w:rsidRPr="004B0DA6">
        <w:rPr>
          <w:rFonts w:ascii="Times New Roman" w:hAnsi="Times New Roman" w:cs="Times New Roman"/>
          <w:sz w:val="24"/>
          <w:szCs w:val="24"/>
          <w:u w:val="single"/>
        </w:rPr>
        <w:t>Healthcare Benefits</w:t>
      </w:r>
    </w:p>
    <w:tbl>
      <w:tblPr>
        <w:tblpPr w:leftFromText="180" w:rightFromText="180" w:vertAnchor="text" w:horzAnchor="margin" w:tblpY="593"/>
        <w:tblW w:w="9836"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836"/>
      </w:tblGrid>
      <w:tr w:rsidR="0042444D" w:rsidRPr="004B0DA6" w14:paraId="09BA2374" w14:textId="77777777" w:rsidTr="00A542F6">
        <w:trPr>
          <w:trHeight w:val="2490"/>
        </w:trPr>
        <w:tc>
          <w:tcPr>
            <w:tcW w:w="9836" w:type="dxa"/>
          </w:tcPr>
          <w:p w14:paraId="0B384BA1" w14:textId="77777777" w:rsidR="0042444D" w:rsidRPr="004B0DA6" w:rsidRDefault="0042444D" w:rsidP="00A542F6">
            <w:pPr>
              <w:keepNext/>
              <w:tabs>
                <w:tab w:val="left" w:pos="0"/>
              </w:tabs>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The following note disclosure presents City of Dogwood’s pay-as-you-go funded single-employer defined benefit postemployment healthcare plan.  Each local government has unique parameters, based on its Board-approved benefits; the participation by its members; the plan’s funding; etc.  It is highly unlikely to have duplicates between North Carolina local governments.  Therefore, it must be tailored for the unique criteria of each local government’s plan.  For those governments who fund their postemployment benefits, please refer to Carolina County.  For those who use the Alternative Method of calculation for the net OPEB liability please refer to the City of Dogwood appendix.</w:t>
            </w:r>
          </w:p>
        </w:tc>
      </w:tr>
    </w:tbl>
    <w:p w14:paraId="5B790937" w14:textId="77777777" w:rsidR="0042444D" w:rsidRPr="004B0DA6" w:rsidRDefault="0042444D" w:rsidP="00203597">
      <w:pPr>
        <w:keepNext/>
        <w:spacing w:after="0"/>
        <w:rPr>
          <w:rFonts w:ascii="Times New Roman" w:hAnsi="Times New Roman" w:cs="Times New Roman"/>
          <w:sz w:val="24"/>
          <w:szCs w:val="24"/>
        </w:rPr>
      </w:pPr>
    </w:p>
    <w:p w14:paraId="428AE940" w14:textId="77777777" w:rsidR="00845C93" w:rsidRPr="004B0DA6" w:rsidRDefault="00845C93" w:rsidP="00203597">
      <w:pPr>
        <w:keepNext/>
        <w:spacing w:after="0"/>
        <w:jc w:val="both"/>
        <w:rPr>
          <w:rFonts w:ascii="Times New Roman" w:hAnsi="Times New Roman" w:cs="Times New Roman"/>
          <w:i/>
          <w:sz w:val="24"/>
          <w:szCs w:val="24"/>
        </w:rPr>
      </w:pPr>
    </w:p>
    <w:p w14:paraId="09E2779F" w14:textId="77777777" w:rsidR="0042444D" w:rsidRPr="004B0DA6" w:rsidRDefault="0042444D" w:rsidP="00203597">
      <w:pPr>
        <w:keepNext/>
        <w:spacing w:after="0"/>
        <w:jc w:val="both"/>
        <w:rPr>
          <w:rFonts w:ascii="Times New Roman" w:hAnsi="Times New Roman" w:cs="Times New Roman"/>
          <w:i/>
          <w:sz w:val="24"/>
          <w:szCs w:val="24"/>
        </w:rPr>
      </w:pPr>
    </w:p>
    <w:p w14:paraId="19D2EC3D" w14:textId="4B189A40" w:rsidR="00845C93" w:rsidRPr="004B0DA6" w:rsidRDefault="0056179C" w:rsidP="00203597">
      <w:pPr>
        <w:keepNext/>
        <w:spacing w:after="0"/>
        <w:jc w:val="both"/>
        <w:rPr>
          <w:rFonts w:ascii="Times New Roman" w:hAnsi="Times New Roman" w:cs="Times New Roman"/>
          <w:sz w:val="24"/>
          <w:szCs w:val="24"/>
        </w:rPr>
      </w:pPr>
      <w:r w:rsidRPr="004B0DA6">
        <w:rPr>
          <w:rFonts w:ascii="Times New Roman" w:hAnsi="Times New Roman" w:cs="Times New Roman"/>
          <w:i/>
          <w:sz w:val="24"/>
          <w:szCs w:val="24"/>
        </w:rPr>
        <w:t>Plan Description.</w:t>
      </w:r>
      <w:r w:rsidRPr="004B0DA6">
        <w:rPr>
          <w:rFonts w:ascii="Times New Roman" w:hAnsi="Times New Roman" w:cs="Times New Roman"/>
          <w:sz w:val="24"/>
          <w:szCs w:val="24"/>
        </w:rPr>
        <w:t xml:space="preserve">  Under the terms of a City resolution, the City administers a single employer defined benefit Healthcare Benefits Plan (the HCB Plan).  The City Board has the authority to establish and amend the benefit terms and financing requirements.  No assets are accumulated in a trust that meets the criteria in paragraph 4 of GASB Statement 75. </w:t>
      </w:r>
    </w:p>
    <w:p w14:paraId="75A46B7A" w14:textId="77777777" w:rsidR="00F8523D" w:rsidRPr="004B0DA6" w:rsidRDefault="00F8523D" w:rsidP="00203597">
      <w:pPr>
        <w:keepNext/>
        <w:spacing w:after="0"/>
        <w:jc w:val="both"/>
        <w:rPr>
          <w:rFonts w:ascii="Times New Roman" w:hAnsi="Times New Roman" w:cs="Times New Roman"/>
          <w:i/>
          <w:sz w:val="24"/>
          <w:szCs w:val="24"/>
        </w:rPr>
      </w:pPr>
    </w:p>
    <w:p w14:paraId="0DCFF96C" w14:textId="14394F50" w:rsidR="0056179C" w:rsidRPr="004B0DA6" w:rsidRDefault="0056179C" w:rsidP="00203597">
      <w:pPr>
        <w:keepNext/>
        <w:spacing w:after="0"/>
        <w:jc w:val="both"/>
        <w:rPr>
          <w:rFonts w:ascii="Times New Roman" w:hAnsi="Times New Roman" w:cs="Times New Roman"/>
          <w:sz w:val="24"/>
          <w:szCs w:val="24"/>
        </w:rPr>
      </w:pPr>
      <w:r w:rsidRPr="004B0DA6">
        <w:rPr>
          <w:rFonts w:ascii="Times New Roman" w:hAnsi="Times New Roman" w:cs="Times New Roman"/>
          <w:i/>
          <w:sz w:val="24"/>
          <w:szCs w:val="24"/>
        </w:rPr>
        <w:t xml:space="preserve">Benefits Provided.   </w:t>
      </w:r>
      <w:r w:rsidRPr="004B0DA6">
        <w:rPr>
          <w:rFonts w:ascii="Times New Roman" w:hAnsi="Times New Roman" w:cs="Times New Roman"/>
          <w:sz w:val="24"/>
          <w:szCs w:val="24"/>
        </w:rPr>
        <w:t xml:space="preserve">Prior to July 1, 2007, retirees qualified for benefits </w:t>
      </w:r>
      <w:proofErr w:type="gramStart"/>
      <w:r w:rsidRPr="004B0DA6">
        <w:rPr>
          <w:rFonts w:ascii="Times New Roman" w:hAnsi="Times New Roman" w:cs="Times New Roman"/>
          <w:sz w:val="24"/>
          <w:szCs w:val="24"/>
        </w:rPr>
        <w:t>similar to</w:t>
      </w:r>
      <w:proofErr w:type="gramEnd"/>
      <w:r w:rsidRPr="004B0DA6">
        <w:rPr>
          <w:rFonts w:ascii="Times New Roman" w:hAnsi="Times New Roman" w:cs="Times New Roman"/>
          <w:sz w:val="24"/>
          <w:szCs w:val="24"/>
        </w:rPr>
        <w:t xml:space="preserve"> those of employees after a minimum of five years of creditable service with the City.  The City pays the full cost of coverage for employees’ benefits through private insurers and employees have the option of purchasing dependent coverage at the City’s group rates.  Employees hired on or after July 1, 2007, who retire with a minimum of 20 years of creditable service also have the option of purchasing coverage for themselves and dependents at the City’s group rate.   Employees hired on </w:t>
      </w:r>
      <w:r w:rsidRPr="004B0DA6">
        <w:rPr>
          <w:rFonts w:ascii="Times New Roman" w:hAnsi="Times New Roman" w:cs="Times New Roman"/>
          <w:sz w:val="24"/>
          <w:szCs w:val="24"/>
        </w:rPr>
        <w:lastRenderedPageBreak/>
        <w:t xml:space="preserve">or after July 1, 2007, who retire with less than 20 years of service are not eligible for postemployment coverage.    Retirees who qualify for coverage receive the same benefits as active employees.  Coverage for all retirees who are eligible for Medicare will be transferred to a Medicare Supplemental plan after qualifying for Medicare. The City Council may amend the benefit provisions.  A separate report was not issued for the plan. </w:t>
      </w:r>
    </w:p>
    <w:p w14:paraId="7EA064BE" w14:textId="77777777" w:rsidR="0056179C" w:rsidRPr="004B0DA6" w:rsidRDefault="0056179C" w:rsidP="00203597">
      <w:pPr>
        <w:spacing w:after="0"/>
        <w:jc w:val="both"/>
        <w:rPr>
          <w:rFonts w:ascii="Times New Roman" w:hAnsi="Times New Roman" w:cs="Times New Roman"/>
          <w:sz w:val="24"/>
          <w:szCs w:val="24"/>
        </w:rPr>
      </w:pPr>
    </w:p>
    <w:p w14:paraId="6A45DC49" w14:textId="591C51F0" w:rsidR="0056179C" w:rsidRPr="004B0DA6" w:rsidRDefault="0089383A"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object w:dxaOrig="6532" w:dyaOrig="2793" w14:anchorId="2DE47B8D">
          <v:shape id="_x0000_i1043" type="#_x0000_t75" style="width:326.25pt;height:139.5pt" o:ole="">
            <v:imagedata r:id="rId62" o:title=""/>
          </v:shape>
          <o:OLEObject Type="Embed" ProgID="Excel.Sheet.8" ShapeID="_x0000_i1043" DrawAspect="Content" ObjectID="_1793012035" r:id="rId63"/>
        </w:object>
      </w:r>
    </w:p>
    <w:p w14:paraId="1520C1C0" w14:textId="77777777" w:rsidR="0056179C" w:rsidRPr="004B0DA6" w:rsidRDefault="0056179C" w:rsidP="00203597">
      <w:pPr>
        <w:spacing w:after="0"/>
        <w:jc w:val="both"/>
        <w:rPr>
          <w:rFonts w:ascii="Times New Roman" w:hAnsi="Times New Roman" w:cs="Times New Roman"/>
          <w:sz w:val="24"/>
          <w:szCs w:val="24"/>
        </w:rPr>
      </w:pPr>
    </w:p>
    <w:p w14:paraId="6798867D" w14:textId="77D6E5AC" w:rsidR="0056179C" w:rsidRPr="004B0DA6" w:rsidRDefault="0056179C" w:rsidP="00203597">
      <w:pPr>
        <w:pBdr>
          <w:top w:val="thickThinSmallGap" w:sz="24" w:space="1" w:color="auto"/>
          <w:left w:val="thickThinSmallGap" w:sz="24" w:space="4" w:color="auto"/>
          <w:bottom w:val="thickThinSmallGap" w:sz="24" w:space="1" w:color="auto"/>
          <w:right w:val="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b/>
          <w:sz w:val="24"/>
          <w:szCs w:val="24"/>
        </w:rPr>
        <w:t>Note to preparer</w:t>
      </w:r>
      <w:r w:rsidRPr="004B0DA6">
        <w:rPr>
          <w:rFonts w:ascii="Times New Roman" w:hAnsi="Times New Roman" w:cs="Times New Roman"/>
          <w:sz w:val="24"/>
          <w:szCs w:val="24"/>
        </w:rPr>
        <w:t xml:space="preserve">:  Please include specific details regarding who is and who is not covered under the plan, any employer cap to contributions, when or if Medicare assumes coverage, what benefits are included, etc.  </w:t>
      </w:r>
    </w:p>
    <w:p w14:paraId="1863241B" w14:textId="77777777" w:rsidR="00F8523D" w:rsidRPr="004B0DA6" w:rsidRDefault="00F8523D" w:rsidP="00203597">
      <w:pPr>
        <w:spacing w:after="0"/>
        <w:jc w:val="both"/>
        <w:rPr>
          <w:rFonts w:ascii="Times New Roman" w:hAnsi="Times New Roman" w:cs="Times New Roman"/>
          <w:sz w:val="24"/>
          <w:szCs w:val="24"/>
        </w:rPr>
      </w:pPr>
    </w:p>
    <w:p w14:paraId="0D33B1D5" w14:textId="17BE4A9A" w:rsidR="0089383A"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Membership of the HCB Plan consisted of the following </w:t>
      </w:r>
      <w:r w:rsidR="00447731" w:rsidRPr="004B0DA6">
        <w:rPr>
          <w:rFonts w:ascii="Times New Roman" w:hAnsi="Times New Roman" w:cs="Times New Roman"/>
          <w:sz w:val="24"/>
          <w:szCs w:val="24"/>
        </w:rPr>
        <w:t>on</w:t>
      </w:r>
      <w:r w:rsidRPr="004B0DA6">
        <w:rPr>
          <w:rFonts w:ascii="Times New Roman" w:hAnsi="Times New Roman" w:cs="Times New Roman"/>
          <w:sz w:val="24"/>
          <w:szCs w:val="24"/>
        </w:rPr>
        <w:t xml:space="preserve"> December 31, </w:t>
      </w:r>
      <w:r w:rsidR="00907F65" w:rsidRPr="004B0DA6">
        <w:rPr>
          <w:rFonts w:ascii="Times New Roman" w:hAnsi="Times New Roman" w:cs="Times New Roman"/>
          <w:sz w:val="24"/>
          <w:szCs w:val="24"/>
        </w:rPr>
        <w:t>202</w:t>
      </w:r>
      <w:r w:rsidR="00742FA0" w:rsidRPr="004B0DA6">
        <w:rPr>
          <w:rFonts w:ascii="Times New Roman" w:hAnsi="Times New Roman" w:cs="Times New Roman"/>
          <w:sz w:val="24"/>
          <w:szCs w:val="24"/>
        </w:rPr>
        <w:t>3</w:t>
      </w:r>
      <w:r w:rsidRPr="004B0DA6">
        <w:rPr>
          <w:rFonts w:ascii="Times New Roman" w:hAnsi="Times New Roman" w:cs="Times New Roman"/>
          <w:sz w:val="24"/>
          <w:szCs w:val="24"/>
        </w:rPr>
        <w:t>, the date of the latest actuarial valuation:</w:t>
      </w:r>
    </w:p>
    <w:tbl>
      <w:tblPr>
        <w:tblW w:w="9576" w:type="dxa"/>
        <w:tblLook w:val="01E0" w:firstRow="1" w:lastRow="1" w:firstColumn="1" w:lastColumn="1" w:noHBand="0" w:noVBand="0"/>
      </w:tblPr>
      <w:tblGrid>
        <w:gridCol w:w="6540"/>
        <w:gridCol w:w="1462"/>
        <w:gridCol w:w="1574"/>
      </w:tblGrid>
      <w:tr w:rsidR="0056179C" w:rsidRPr="004B0DA6" w14:paraId="29343344" w14:textId="77777777" w:rsidTr="007A4AD5">
        <w:trPr>
          <w:trHeight w:val="163"/>
        </w:trPr>
        <w:tc>
          <w:tcPr>
            <w:tcW w:w="6540" w:type="dxa"/>
          </w:tcPr>
          <w:p w14:paraId="126813E6" w14:textId="77777777" w:rsidR="0056179C" w:rsidRPr="004B0DA6" w:rsidRDefault="0056179C" w:rsidP="00203597">
            <w:pPr>
              <w:spacing w:after="0" w:line="240" w:lineRule="auto"/>
              <w:jc w:val="center"/>
              <w:rPr>
                <w:rFonts w:ascii="Times New Roman" w:eastAsia="Times New Roman" w:hAnsi="Times New Roman" w:cs="Times New Roman"/>
                <w:sz w:val="24"/>
                <w:szCs w:val="24"/>
              </w:rPr>
            </w:pPr>
          </w:p>
        </w:tc>
        <w:tc>
          <w:tcPr>
            <w:tcW w:w="1462" w:type="dxa"/>
            <w:vAlign w:val="bottom"/>
          </w:tcPr>
          <w:p w14:paraId="3DD011F5" w14:textId="77777777" w:rsidR="0056179C" w:rsidRPr="004B0DA6" w:rsidRDefault="0056179C" w:rsidP="00203597">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General Employees:</w:t>
            </w:r>
          </w:p>
        </w:tc>
        <w:tc>
          <w:tcPr>
            <w:tcW w:w="1574" w:type="dxa"/>
            <w:vAlign w:val="bottom"/>
          </w:tcPr>
          <w:p w14:paraId="724DAEB4" w14:textId="77777777" w:rsidR="0056179C" w:rsidRPr="004B0DA6" w:rsidRDefault="0056179C" w:rsidP="00203597">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Law Enforcement Officers:</w:t>
            </w:r>
          </w:p>
        </w:tc>
      </w:tr>
      <w:tr w:rsidR="0056179C" w:rsidRPr="004B0DA6" w14:paraId="06DE8AE0" w14:textId="77777777" w:rsidTr="007A4AD5">
        <w:trPr>
          <w:trHeight w:val="163"/>
        </w:trPr>
        <w:tc>
          <w:tcPr>
            <w:tcW w:w="6540" w:type="dxa"/>
          </w:tcPr>
          <w:p w14:paraId="529F858E"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Retirees and dependents receiving benefits</w:t>
            </w:r>
          </w:p>
        </w:tc>
        <w:tc>
          <w:tcPr>
            <w:tcW w:w="1462" w:type="dxa"/>
          </w:tcPr>
          <w:p w14:paraId="4CD367DC" w14:textId="77777777" w:rsidR="0056179C" w:rsidRPr="004B0DA6" w:rsidRDefault="0056179C" w:rsidP="00203597">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1</w:t>
            </w:r>
          </w:p>
        </w:tc>
        <w:tc>
          <w:tcPr>
            <w:tcW w:w="1574" w:type="dxa"/>
          </w:tcPr>
          <w:p w14:paraId="65444381" w14:textId="77777777" w:rsidR="0056179C" w:rsidRPr="004B0DA6" w:rsidRDefault="0056179C" w:rsidP="00203597">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4</w:t>
            </w:r>
          </w:p>
        </w:tc>
      </w:tr>
      <w:tr w:rsidR="0056179C" w:rsidRPr="004B0DA6" w14:paraId="7DA4EF1C" w14:textId="77777777" w:rsidTr="007A4AD5">
        <w:trPr>
          <w:trHeight w:val="163"/>
        </w:trPr>
        <w:tc>
          <w:tcPr>
            <w:tcW w:w="6540" w:type="dxa"/>
          </w:tcPr>
          <w:p w14:paraId="22827324"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Terminated plan members entitled to but not yet receiving benefits</w:t>
            </w:r>
          </w:p>
        </w:tc>
        <w:tc>
          <w:tcPr>
            <w:tcW w:w="1462" w:type="dxa"/>
            <w:vAlign w:val="bottom"/>
          </w:tcPr>
          <w:p w14:paraId="0187F5A9" w14:textId="77777777" w:rsidR="0056179C" w:rsidRPr="004B0DA6" w:rsidRDefault="0056179C" w:rsidP="00203597">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3</w:t>
            </w:r>
          </w:p>
        </w:tc>
        <w:tc>
          <w:tcPr>
            <w:tcW w:w="1574" w:type="dxa"/>
            <w:vAlign w:val="bottom"/>
          </w:tcPr>
          <w:p w14:paraId="57E8161B" w14:textId="77777777" w:rsidR="0056179C" w:rsidRPr="004B0DA6" w:rsidRDefault="0056179C" w:rsidP="00203597">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0</w:t>
            </w:r>
          </w:p>
        </w:tc>
      </w:tr>
      <w:tr w:rsidR="0056179C" w:rsidRPr="004B0DA6" w14:paraId="520699B3" w14:textId="77777777" w:rsidTr="007A4AD5">
        <w:trPr>
          <w:trHeight w:val="275"/>
        </w:trPr>
        <w:tc>
          <w:tcPr>
            <w:tcW w:w="6540" w:type="dxa"/>
          </w:tcPr>
          <w:p w14:paraId="3B7600A8"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Active plan members</w:t>
            </w:r>
          </w:p>
        </w:tc>
        <w:tc>
          <w:tcPr>
            <w:tcW w:w="1462" w:type="dxa"/>
            <w:tcBorders>
              <w:bottom w:val="single" w:sz="4" w:space="0" w:color="auto"/>
            </w:tcBorders>
          </w:tcPr>
          <w:p w14:paraId="3903EDB2" w14:textId="77777777" w:rsidR="0056179C" w:rsidRPr="004B0DA6" w:rsidRDefault="0056179C" w:rsidP="00203597">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14</w:t>
            </w:r>
          </w:p>
        </w:tc>
        <w:tc>
          <w:tcPr>
            <w:tcW w:w="1574" w:type="dxa"/>
            <w:tcBorders>
              <w:bottom w:val="single" w:sz="4" w:space="0" w:color="auto"/>
            </w:tcBorders>
          </w:tcPr>
          <w:p w14:paraId="66C29623" w14:textId="77777777" w:rsidR="0056179C" w:rsidRPr="004B0DA6" w:rsidRDefault="0056179C" w:rsidP="00203597">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6</w:t>
            </w:r>
          </w:p>
        </w:tc>
      </w:tr>
      <w:tr w:rsidR="0056179C" w:rsidRPr="004B0DA6" w14:paraId="3D6BB020" w14:textId="77777777" w:rsidTr="007A4AD5">
        <w:trPr>
          <w:trHeight w:val="325"/>
        </w:trPr>
        <w:tc>
          <w:tcPr>
            <w:tcW w:w="6540" w:type="dxa"/>
          </w:tcPr>
          <w:p w14:paraId="624351D3"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Total</w:t>
            </w:r>
          </w:p>
        </w:tc>
        <w:tc>
          <w:tcPr>
            <w:tcW w:w="1462" w:type="dxa"/>
            <w:tcBorders>
              <w:top w:val="single" w:sz="4" w:space="0" w:color="auto"/>
              <w:bottom w:val="double" w:sz="4" w:space="0" w:color="auto"/>
            </w:tcBorders>
          </w:tcPr>
          <w:p w14:paraId="4BA6F7C6" w14:textId="77777777" w:rsidR="0056179C" w:rsidRPr="004B0DA6" w:rsidRDefault="0056179C" w:rsidP="00203597">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18</w:t>
            </w:r>
          </w:p>
        </w:tc>
        <w:tc>
          <w:tcPr>
            <w:tcW w:w="1574" w:type="dxa"/>
            <w:tcBorders>
              <w:top w:val="single" w:sz="4" w:space="0" w:color="auto"/>
              <w:bottom w:val="double" w:sz="4" w:space="0" w:color="auto"/>
            </w:tcBorders>
          </w:tcPr>
          <w:p w14:paraId="5F7C44E3" w14:textId="77777777" w:rsidR="0056179C" w:rsidRPr="004B0DA6" w:rsidRDefault="0056179C" w:rsidP="00203597">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10</w:t>
            </w:r>
          </w:p>
        </w:tc>
      </w:tr>
    </w:tbl>
    <w:p w14:paraId="67509889" w14:textId="77777777" w:rsidR="0056179C" w:rsidRPr="004B0DA6" w:rsidRDefault="0056179C" w:rsidP="00203597">
      <w:pPr>
        <w:spacing w:after="0"/>
        <w:jc w:val="both"/>
        <w:rPr>
          <w:rFonts w:ascii="Times New Roman" w:hAnsi="Times New Roman" w:cs="Times New Roman"/>
          <w:sz w:val="24"/>
          <w:szCs w:val="24"/>
        </w:rPr>
      </w:pPr>
    </w:p>
    <w:p w14:paraId="7282B7D2" w14:textId="4E219EB6" w:rsidR="0056179C" w:rsidRPr="004B0DA6" w:rsidRDefault="0056179C" w:rsidP="00203597">
      <w:pPr>
        <w:spacing w:after="0" w:line="240" w:lineRule="exact"/>
        <w:outlineLvl w:val="0"/>
        <w:rPr>
          <w:rFonts w:ascii="Times New Roman" w:hAnsi="Times New Roman" w:cs="Times New Roman"/>
          <w:b/>
          <w:sz w:val="24"/>
          <w:szCs w:val="24"/>
        </w:rPr>
      </w:pPr>
      <w:r w:rsidRPr="004B0DA6">
        <w:rPr>
          <w:rFonts w:ascii="Times New Roman" w:hAnsi="Times New Roman" w:cs="Times New Roman"/>
          <w:b/>
          <w:sz w:val="24"/>
          <w:szCs w:val="24"/>
        </w:rPr>
        <w:t>Total OPEB Liability</w:t>
      </w:r>
    </w:p>
    <w:p w14:paraId="30816EA3" w14:textId="77777777" w:rsidR="00F8523D" w:rsidRPr="004B0DA6" w:rsidRDefault="00F8523D" w:rsidP="00203597">
      <w:pPr>
        <w:spacing w:after="0" w:line="240" w:lineRule="exact"/>
        <w:jc w:val="both"/>
        <w:outlineLvl w:val="0"/>
        <w:rPr>
          <w:rFonts w:ascii="Times New Roman" w:hAnsi="Times New Roman" w:cs="Times New Roman"/>
          <w:sz w:val="24"/>
          <w:szCs w:val="24"/>
        </w:rPr>
      </w:pPr>
    </w:p>
    <w:p w14:paraId="5B8E8117" w14:textId="1CE16F38" w:rsidR="0056179C" w:rsidRPr="004B0DA6" w:rsidRDefault="0056179C" w:rsidP="00203597">
      <w:pPr>
        <w:spacing w:after="0" w:line="240" w:lineRule="exact"/>
        <w:jc w:val="both"/>
        <w:outlineLvl w:val="0"/>
        <w:rPr>
          <w:rFonts w:ascii="Times New Roman" w:hAnsi="Times New Roman" w:cs="Times New Roman"/>
          <w:sz w:val="24"/>
          <w:szCs w:val="24"/>
        </w:rPr>
      </w:pPr>
      <w:r w:rsidRPr="004B0DA6">
        <w:rPr>
          <w:rFonts w:ascii="Times New Roman" w:hAnsi="Times New Roman" w:cs="Times New Roman"/>
          <w:sz w:val="24"/>
          <w:szCs w:val="24"/>
        </w:rPr>
        <w:t xml:space="preserve">The City’s total OPEB liability of $1,197,321 was measured as of </w:t>
      </w:r>
      <w:r w:rsidR="00E94247" w:rsidRPr="004B0DA6">
        <w:rPr>
          <w:rFonts w:ascii="Times New Roman" w:hAnsi="Times New Roman" w:cs="Times New Roman"/>
          <w:sz w:val="24"/>
          <w:szCs w:val="24"/>
        </w:rPr>
        <w:t xml:space="preserve">December 31, </w:t>
      </w:r>
      <w:r w:rsidR="00BF6A8C" w:rsidRPr="004B0DA6">
        <w:rPr>
          <w:rFonts w:ascii="Times New Roman" w:hAnsi="Times New Roman" w:cs="Times New Roman"/>
          <w:sz w:val="24"/>
          <w:szCs w:val="24"/>
        </w:rPr>
        <w:t>202</w:t>
      </w:r>
      <w:r w:rsidR="0042444D" w:rsidRPr="004B0DA6">
        <w:rPr>
          <w:rFonts w:ascii="Times New Roman" w:hAnsi="Times New Roman" w:cs="Times New Roman"/>
          <w:sz w:val="24"/>
          <w:szCs w:val="24"/>
        </w:rPr>
        <w:t>3</w:t>
      </w:r>
      <w:r w:rsidR="00BF6A8C" w:rsidRPr="004B0DA6">
        <w:rPr>
          <w:rFonts w:ascii="Times New Roman" w:hAnsi="Times New Roman" w:cs="Times New Roman"/>
          <w:sz w:val="24"/>
          <w:szCs w:val="24"/>
        </w:rPr>
        <w:t>,</w:t>
      </w:r>
      <w:r w:rsidR="00907F65" w:rsidRPr="004B0DA6">
        <w:rPr>
          <w:rFonts w:ascii="Times New Roman" w:hAnsi="Times New Roman" w:cs="Times New Roman"/>
          <w:sz w:val="24"/>
          <w:szCs w:val="24"/>
        </w:rPr>
        <w:t xml:space="preserve"> </w:t>
      </w:r>
      <w:r w:rsidR="00E94247" w:rsidRPr="004B0DA6">
        <w:rPr>
          <w:rFonts w:ascii="Times New Roman" w:hAnsi="Times New Roman" w:cs="Times New Roman"/>
          <w:sz w:val="24"/>
          <w:szCs w:val="24"/>
        </w:rPr>
        <w:t>and</w:t>
      </w:r>
      <w:r w:rsidRPr="004B0DA6">
        <w:rPr>
          <w:rFonts w:ascii="Times New Roman" w:hAnsi="Times New Roman" w:cs="Times New Roman"/>
          <w:sz w:val="24"/>
          <w:szCs w:val="24"/>
        </w:rPr>
        <w:t xml:space="preserve"> was determined by an actuarial valuation as of that date.  </w:t>
      </w:r>
    </w:p>
    <w:p w14:paraId="247E94D1" w14:textId="77777777" w:rsidR="00F8523D" w:rsidRPr="004B0DA6" w:rsidRDefault="00F8523D" w:rsidP="00203597">
      <w:pPr>
        <w:spacing w:after="0" w:line="240" w:lineRule="exact"/>
        <w:jc w:val="both"/>
        <w:outlineLvl w:val="0"/>
        <w:rPr>
          <w:rFonts w:ascii="Times New Roman" w:hAnsi="Times New Roman" w:cs="Times New Roman"/>
          <w:i/>
          <w:sz w:val="24"/>
          <w:szCs w:val="24"/>
        </w:rPr>
      </w:pPr>
    </w:p>
    <w:p w14:paraId="04FB2B39" w14:textId="0F7486B2" w:rsidR="0056179C" w:rsidRPr="004B0DA6" w:rsidRDefault="0056179C" w:rsidP="00203597">
      <w:pPr>
        <w:spacing w:after="0" w:line="240" w:lineRule="exact"/>
        <w:jc w:val="both"/>
        <w:outlineLvl w:val="0"/>
        <w:rPr>
          <w:rFonts w:ascii="Times New Roman" w:hAnsi="Times New Roman" w:cs="Times New Roman"/>
          <w:sz w:val="24"/>
          <w:szCs w:val="24"/>
        </w:rPr>
      </w:pPr>
      <w:r w:rsidRPr="004B0DA6">
        <w:rPr>
          <w:rFonts w:ascii="Times New Roman" w:hAnsi="Times New Roman" w:cs="Times New Roman"/>
          <w:i/>
          <w:sz w:val="24"/>
          <w:szCs w:val="24"/>
        </w:rPr>
        <w:t xml:space="preserve">Actuarial assumptions and other inputs.  </w:t>
      </w:r>
      <w:r w:rsidRPr="004B0DA6">
        <w:rPr>
          <w:rFonts w:ascii="Times New Roman" w:hAnsi="Times New Roman" w:cs="Times New Roman"/>
          <w:sz w:val="24"/>
          <w:szCs w:val="24"/>
        </w:rPr>
        <w:t xml:space="preserve">The total OPEB liability in the December 31, </w:t>
      </w:r>
      <w:r w:rsidR="00907F65" w:rsidRPr="004B0DA6">
        <w:rPr>
          <w:rFonts w:ascii="Times New Roman" w:hAnsi="Times New Roman" w:cs="Times New Roman"/>
          <w:sz w:val="24"/>
          <w:szCs w:val="24"/>
        </w:rPr>
        <w:t>202</w:t>
      </w:r>
      <w:r w:rsidR="0042444D" w:rsidRPr="004B0DA6">
        <w:rPr>
          <w:rFonts w:ascii="Times New Roman" w:hAnsi="Times New Roman" w:cs="Times New Roman"/>
          <w:sz w:val="24"/>
          <w:szCs w:val="24"/>
        </w:rPr>
        <w:t>3</w:t>
      </w:r>
      <w:r w:rsidRPr="004B0DA6">
        <w:rPr>
          <w:rFonts w:ascii="Times New Roman" w:hAnsi="Times New Roman" w:cs="Times New Roman"/>
          <w:sz w:val="24"/>
          <w:szCs w:val="24"/>
        </w:rPr>
        <w:t>, actuarial valuation was determined using the following actuarial assumptions and other inputs, applied to all periods included in the measurement unless otherwise specified:</w:t>
      </w:r>
    </w:p>
    <w:p w14:paraId="32B5D158" w14:textId="77777777" w:rsidR="0056179C" w:rsidRPr="004B0DA6" w:rsidRDefault="0056179C" w:rsidP="00203597">
      <w:pPr>
        <w:spacing w:after="0" w:line="240" w:lineRule="exact"/>
        <w:jc w:val="both"/>
        <w:outlineLvl w:val="0"/>
        <w:rPr>
          <w:rFonts w:ascii="Times New Roman" w:hAnsi="Times New Roman" w:cs="Times New Roman"/>
          <w:sz w:val="24"/>
          <w:szCs w:val="24"/>
        </w:rPr>
      </w:pPr>
    </w:p>
    <w:p w14:paraId="042CFA2F"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Inflation</w:t>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t>3.0 percent</w:t>
      </w:r>
    </w:p>
    <w:p w14:paraId="4C868F0D"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Salary increases</w:t>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t xml:space="preserve">2.5 percent, average, including </w:t>
      </w:r>
      <w:proofErr w:type="gramStart"/>
      <w:r w:rsidRPr="004B0DA6">
        <w:rPr>
          <w:rFonts w:ascii="Times New Roman" w:eastAsia="Times New Roman" w:hAnsi="Times New Roman" w:cs="Times New Roman"/>
          <w:sz w:val="24"/>
          <w:szCs w:val="24"/>
        </w:rPr>
        <w:t>inflation</w:t>
      </w:r>
      <w:proofErr w:type="gramEnd"/>
    </w:p>
    <w:p w14:paraId="612AC57B"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Discount rate</w:t>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t>3.18 percent</w:t>
      </w:r>
    </w:p>
    <w:p w14:paraId="40E6DEC5"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Healthcare cost trend rates</w:t>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t>Medical – 6.5%</w:t>
      </w:r>
    </w:p>
    <w:p w14:paraId="73FCF24C"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lastRenderedPageBreak/>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t>Prescription – 7.25%</w:t>
      </w:r>
    </w:p>
    <w:p w14:paraId="49E8396E"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r>
      <w:r w:rsidRPr="004B0DA6">
        <w:rPr>
          <w:rFonts w:ascii="Times New Roman" w:eastAsia="Times New Roman" w:hAnsi="Times New Roman" w:cs="Times New Roman"/>
          <w:sz w:val="24"/>
          <w:szCs w:val="24"/>
        </w:rPr>
        <w:tab/>
        <w:t>Admin Expenses – 3.00%</w:t>
      </w:r>
    </w:p>
    <w:p w14:paraId="6CF0197C" w14:textId="77777777" w:rsidR="0056179C" w:rsidRPr="004B0DA6" w:rsidRDefault="0056179C" w:rsidP="00203597">
      <w:pPr>
        <w:spacing w:after="0" w:line="240" w:lineRule="exact"/>
        <w:jc w:val="both"/>
        <w:outlineLvl w:val="0"/>
        <w:rPr>
          <w:rFonts w:ascii="Times New Roman" w:hAnsi="Times New Roman" w:cs="Times New Roman"/>
          <w:sz w:val="24"/>
          <w:szCs w:val="24"/>
        </w:rPr>
      </w:pPr>
    </w:p>
    <w:p w14:paraId="520E92CC" w14:textId="697576BA" w:rsidR="0056179C" w:rsidRPr="004B0DA6" w:rsidRDefault="0056179C" w:rsidP="00203597">
      <w:pPr>
        <w:spacing w:after="0" w:line="240" w:lineRule="exact"/>
        <w:jc w:val="both"/>
        <w:outlineLvl w:val="0"/>
        <w:rPr>
          <w:rFonts w:ascii="Times New Roman" w:hAnsi="Times New Roman" w:cs="Times New Roman"/>
          <w:sz w:val="24"/>
          <w:szCs w:val="24"/>
        </w:rPr>
      </w:pPr>
      <w:r w:rsidRPr="004B0DA6">
        <w:rPr>
          <w:rFonts w:ascii="Times New Roman" w:hAnsi="Times New Roman" w:cs="Times New Roman"/>
          <w:sz w:val="24"/>
          <w:szCs w:val="24"/>
        </w:rPr>
        <w:t xml:space="preserve">The discount rate is based on the yield of the S&amp;P Municipal Bond 20 Year High Grade Rate Index as of the measurement date. </w:t>
      </w:r>
    </w:p>
    <w:p w14:paraId="5A58B049" w14:textId="176FBDE2" w:rsidR="00826F0E" w:rsidRPr="004B0DA6" w:rsidRDefault="00826F0E" w:rsidP="00203597">
      <w:pPr>
        <w:spacing w:after="0" w:line="240" w:lineRule="exact"/>
        <w:jc w:val="both"/>
        <w:outlineLvl w:val="0"/>
        <w:rPr>
          <w:rFonts w:ascii="Times New Roman" w:hAnsi="Times New Roman" w:cs="Times New Roman"/>
          <w:sz w:val="24"/>
          <w:szCs w:val="24"/>
        </w:rPr>
      </w:pPr>
    </w:p>
    <w:p w14:paraId="6C4BBFE3" w14:textId="77777777" w:rsidR="00195570" w:rsidRPr="004B0DA6" w:rsidRDefault="00195570" w:rsidP="00203597">
      <w:pPr>
        <w:spacing w:after="0" w:line="240" w:lineRule="exact"/>
        <w:outlineLvl w:val="0"/>
        <w:rPr>
          <w:rFonts w:ascii="Times New Roman" w:hAnsi="Times New Roman" w:cs="Times New Roman"/>
          <w:sz w:val="24"/>
          <w:szCs w:val="24"/>
        </w:rPr>
      </w:pPr>
    </w:p>
    <w:p w14:paraId="08B7C117" w14:textId="1DE81A75" w:rsidR="0056179C" w:rsidRPr="004B0DA6" w:rsidRDefault="0056179C" w:rsidP="00203597">
      <w:pPr>
        <w:spacing w:after="0" w:line="240" w:lineRule="exact"/>
        <w:outlineLvl w:val="0"/>
        <w:rPr>
          <w:rFonts w:ascii="Times New Roman" w:hAnsi="Times New Roman" w:cs="Times New Roman"/>
          <w:b/>
          <w:sz w:val="24"/>
          <w:szCs w:val="24"/>
        </w:rPr>
      </w:pPr>
      <w:r w:rsidRPr="004B0DA6">
        <w:rPr>
          <w:rFonts w:ascii="Times New Roman" w:hAnsi="Times New Roman" w:cs="Times New Roman"/>
          <w:b/>
          <w:sz w:val="24"/>
          <w:szCs w:val="24"/>
        </w:rPr>
        <w:t>Changes in the Total OPEB Liability</w:t>
      </w:r>
    </w:p>
    <w:p w14:paraId="0C77532B" w14:textId="77777777" w:rsidR="0056179C" w:rsidRPr="004B0DA6" w:rsidRDefault="0056179C" w:rsidP="00203597">
      <w:pPr>
        <w:spacing w:after="0" w:line="240" w:lineRule="exact"/>
        <w:outlineLvl w:val="0"/>
        <w:rPr>
          <w:rFonts w:ascii="Times New Roman" w:hAnsi="Times New Roman" w:cs="Times New Roman"/>
          <w:b/>
          <w:sz w:val="24"/>
          <w:szCs w:val="24"/>
        </w:rPr>
      </w:pPr>
    </w:p>
    <w:bookmarkStart w:id="47" w:name="_MON_1681903317"/>
    <w:bookmarkEnd w:id="47"/>
    <w:p w14:paraId="58BE5ADB" w14:textId="3A300952" w:rsidR="0056179C" w:rsidRPr="004B0DA6" w:rsidRDefault="00195570" w:rsidP="00203597">
      <w:pPr>
        <w:spacing w:after="0" w:line="360" w:lineRule="auto"/>
        <w:outlineLvl w:val="0"/>
        <w:rPr>
          <w:rFonts w:ascii="Times New Roman" w:hAnsi="Times New Roman" w:cs="Times New Roman"/>
          <w:sz w:val="24"/>
          <w:szCs w:val="24"/>
        </w:rPr>
      </w:pPr>
      <w:r w:rsidRPr="004B0DA6">
        <w:rPr>
          <w:rFonts w:ascii="Times New Roman" w:hAnsi="Times New Roman" w:cs="Times New Roman"/>
          <w:sz w:val="24"/>
          <w:szCs w:val="24"/>
        </w:rPr>
        <w:object w:dxaOrig="9089" w:dyaOrig="3434" w14:anchorId="3164A6EA">
          <v:shape id="_x0000_i1044" type="#_x0000_t75" style="width:456pt;height:171pt" o:ole="">
            <v:imagedata r:id="rId64" o:title=""/>
          </v:shape>
          <o:OLEObject Type="Embed" ProgID="Excel.Sheet.8" ShapeID="_x0000_i1044" DrawAspect="Content" ObjectID="_1793012036" r:id="rId65"/>
        </w:object>
      </w:r>
    </w:p>
    <w:p w14:paraId="21433DF7" w14:textId="0984CE29" w:rsidR="0056179C" w:rsidRPr="004B0DA6" w:rsidRDefault="0056179C" w:rsidP="00203597">
      <w:pPr>
        <w:spacing w:after="0"/>
        <w:jc w:val="both"/>
        <w:outlineLvl w:val="0"/>
        <w:rPr>
          <w:rFonts w:ascii="Times New Roman" w:hAnsi="Times New Roman" w:cs="Times New Roman"/>
          <w:sz w:val="24"/>
          <w:szCs w:val="24"/>
        </w:rPr>
      </w:pPr>
      <w:r w:rsidRPr="004B0DA6">
        <w:rPr>
          <w:rFonts w:ascii="Times New Roman" w:hAnsi="Times New Roman" w:cs="Times New Roman"/>
          <w:sz w:val="24"/>
          <w:szCs w:val="24"/>
        </w:rPr>
        <w:t>Changes in assumptions and other inputs reflect a change in the discount rate from 3.17% to 3.18%.</w:t>
      </w:r>
    </w:p>
    <w:p w14:paraId="25B439CD" w14:textId="46E59F16" w:rsidR="0056179C" w:rsidRPr="004B0DA6" w:rsidRDefault="0056179C" w:rsidP="00203597">
      <w:pPr>
        <w:spacing w:after="0" w:line="240" w:lineRule="exact"/>
        <w:jc w:val="both"/>
        <w:outlineLvl w:val="0"/>
        <w:rPr>
          <w:rFonts w:ascii="Times New Roman" w:hAnsi="Times New Roman" w:cs="Times New Roman"/>
          <w:sz w:val="24"/>
          <w:szCs w:val="24"/>
        </w:rPr>
      </w:pPr>
      <w:r w:rsidRPr="004B0DA6">
        <w:rPr>
          <w:rFonts w:ascii="Times New Roman" w:hAnsi="Times New Roman" w:cs="Times New Roman"/>
          <w:sz w:val="24"/>
          <w:szCs w:val="24"/>
        </w:rPr>
        <w:t xml:space="preserve">Mortality rates were based on the RP-2014 Total Data Set for Healthy Annuitants Mortality Table.  </w:t>
      </w:r>
    </w:p>
    <w:p w14:paraId="0C444626" w14:textId="77777777" w:rsidR="00F8523D" w:rsidRPr="004B0DA6" w:rsidRDefault="00F8523D" w:rsidP="00203597">
      <w:pPr>
        <w:spacing w:after="0" w:line="240" w:lineRule="exact"/>
        <w:jc w:val="both"/>
        <w:outlineLvl w:val="0"/>
        <w:rPr>
          <w:rFonts w:ascii="Times New Roman" w:hAnsi="Times New Roman" w:cs="Times New Roman"/>
          <w:sz w:val="24"/>
          <w:szCs w:val="24"/>
        </w:rPr>
      </w:pPr>
    </w:p>
    <w:p w14:paraId="2031A51E" w14:textId="04601BDB" w:rsidR="0056179C" w:rsidRPr="004B0DA6" w:rsidRDefault="0056179C" w:rsidP="00203597">
      <w:pPr>
        <w:spacing w:after="0" w:line="240" w:lineRule="exact"/>
        <w:jc w:val="both"/>
        <w:outlineLvl w:val="0"/>
        <w:rPr>
          <w:rFonts w:ascii="Times New Roman" w:hAnsi="Times New Roman" w:cs="Times New Roman"/>
          <w:sz w:val="24"/>
          <w:szCs w:val="24"/>
        </w:rPr>
      </w:pPr>
      <w:r w:rsidRPr="004B0DA6">
        <w:rPr>
          <w:rFonts w:ascii="Times New Roman" w:hAnsi="Times New Roman" w:cs="Times New Roman"/>
          <w:sz w:val="24"/>
          <w:szCs w:val="24"/>
        </w:rPr>
        <w:t xml:space="preserve">The actuarial assumptions used in the December 31, </w:t>
      </w:r>
      <w:proofErr w:type="gramStart"/>
      <w:r w:rsidR="00907F65" w:rsidRPr="004B0DA6">
        <w:rPr>
          <w:rFonts w:ascii="Times New Roman" w:hAnsi="Times New Roman" w:cs="Times New Roman"/>
          <w:sz w:val="24"/>
          <w:szCs w:val="24"/>
        </w:rPr>
        <w:t>202</w:t>
      </w:r>
      <w:r w:rsidR="0042444D" w:rsidRPr="004B0DA6">
        <w:rPr>
          <w:rFonts w:ascii="Times New Roman" w:hAnsi="Times New Roman" w:cs="Times New Roman"/>
          <w:sz w:val="24"/>
          <w:szCs w:val="24"/>
        </w:rPr>
        <w:t>3</w:t>
      </w:r>
      <w:r w:rsidRPr="004B0DA6">
        <w:rPr>
          <w:rFonts w:ascii="Times New Roman" w:hAnsi="Times New Roman" w:cs="Times New Roman"/>
          <w:sz w:val="24"/>
          <w:szCs w:val="24"/>
        </w:rPr>
        <w:t>,</w:t>
      </w:r>
      <w:proofErr w:type="gramEnd"/>
      <w:r w:rsidRPr="004B0DA6">
        <w:rPr>
          <w:rFonts w:ascii="Times New Roman" w:hAnsi="Times New Roman" w:cs="Times New Roman"/>
          <w:sz w:val="24"/>
          <w:szCs w:val="24"/>
        </w:rPr>
        <w:t xml:space="preserve"> valuation </w:t>
      </w:r>
      <w:r w:rsidR="0062064C" w:rsidRPr="004B0DA6">
        <w:rPr>
          <w:rFonts w:ascii="Times New Roman" w:hAnsi="Times New Roman" w:cs="Times New Roman"/>
          <w:sz w:val="24"/>
          <w:szCs w:val="24"/>
        </w:rPr>
        <w:t>was</w:t>
      </w:r>
      <w:r w:rsidRPr="004B0DA6">
        <w:rPr>
          <w:rFonts w:ascii="Times New Roman" w:hAnsi="Times New Roman" w:cs="Times New Roman"/>
          <w:sz w:val="24"/>
          <w:szCs w:val="24"/>
        </w:rPr>
        <w:t xml:space="preserve"> based on the results of an actuarial experience study for the period January 201</w:t>
      </w:r>
      <w:r w:rsidR="00195570" w:rsidRPr="004B0DA6">
        <w:rPr>
          <w:rFonts w:ascii="Times New Roman" w:hAnsi="Times New Roman" w:cs="Times New Roman"/>
          <w:sz w:val="24"/>
          <w:szCs w:val="24"/>
        </w:rPr>
        <w:t>1</w:t>
      </w:r>
      <w:r w:rsidRPr="004B0DA6">
        <w:rPr>
          <w:rFonts w:ascii="Times New Roman" w:hAnsi="Times New Roman" w:cs="Times New Roman"/>
          <w:sz w:val="24"/>
          <w:szCs w:val="24"/>
        </w:rPr>
        <w:t xml:space="preserve"> through December 201</w:t>
      </w:r>
      <w:r w:rsidR="00195570" w:rsidRPr="004B0DA6">
        <w:rPr>
          <w:rFonts w:ascii="Times New Roman" w:hAnsi="Times New Roman" w:cs="Times New Roman"/>
          <w:sz w:val="24"/>
          <w:szCs w:val="24"/>
        </w:rPr>
        <w:t>5</w:t>
      </w:r>
      <w:r w:rsidRPr="004B0DA6">
        <w:rPr>
          <w:rFonts w:ascii="Times New Roman" w:hAnsi="Times New Roman" w:cs="Times New Roman"/>
          <w:sz w:val="24"/>
          <w:szCs w:val="24"/>
        </w:rPr>
        <w:t>.</w:t>
      </w:r>
    </w:p>
    <w:p w14:paraId="4EFE53E3" w14:textId="77777777" w:rsidR="00195570" w:rsidRPr="004B0DA6" w:rsidRDefault="00195570" w:rsidP="00203597">
      <w:pPr>
        <w:spacing w:after="0" w:line="240" w:lineRule="exact"/>
        <w:jc w:val="both"/>
        <w:outlineLvl w:val="0"/>
        <w:rPr>
          <w:rFonts w:ascii="Times New Roman" w:hAnsi="Times New Roman" w:cs="Times New Roman"/>
          <w:i/>
          <w:sz w:val="24"/>
          <w:szCs w:val="24"/>
        </w:rPr>
      </w:pPr>
    </w:p>
    <w:p w14:paraId="091B8E53" w14:textId="25EB0294" w:rsidR="0056179C" w:rsidRPr="004B0DA6" w:rsidRDefault="0056179C" w:rsidP="00203597">
      <w:pPr>
        <w:spacing w:after="0" w:line="240" w:lineRule="exact"/>
        <w:jc w:val="both"/>
        <w:outlineLvl w:val="0"/>
        <w:rPr>
          <w:rFonts w:ascii="Times New Roman" w:hAnsi="Times New Roman" w:cs="Times New Roman"/>
          <w:sz w:val="24"/>
          <w:szCs w:val="24"/>
        </w:rPr>
      </w:pPr>
      <w:r w:rsidRPr="004B0DA6">
        <w:rPr>
          <w:rFonts w:ascii="Times New Roman" w:hAnsi="Times New Roman" w:cs="Times New Roman"/>
          <w:i/>
          <w:sz w:val="24"/>
          <w:szCs w:val="24"/>
        </w:rPr>
        <w:t>Sensitivity of the total OPEB liability to changes in the discount rate.</w:t>
      </w:r>
      <w:r w:rsidRPr="004B0DA6">
        <w:rPr>
          <w:rFonts w:ascii="Times New Roman" w:hAnsi="Times New Roman" w:cs="Times New Roman"/>
          <w:sz w:val="24"/>
          <w:szCs w:val="24"/>
        </w:rPr>
        <w:t xml:space="preserve"> The following presents the total OPEB liability of the City, as well as what the City’s total OPEB liability would be if it were calculated using a discount rate that is 1-percentage-point lower (2.18 percent) or 1-percentage-point higher (4.18 percent) than the current discount rate:</w:t>
      </w:r>
    </w:p>
    <w:p w14:paraId="4245652D" w14:textId="77777777" w:rsidR="0042444D" w:rsidRPr="004B0DA6" w:rsidRDefault="0042444D" w:rsidP="00203597">
      <w:pPr>
        <w:spacing w:after="0" w:line="240" w:lineRule="exact"/>
        <w:jc w:val="both"/>
        <w:outlineLvl w:val="0"/>
        <w:rPr>
          <w:rFonts w:ascii="Times New Roman" w:hAnsi="Times New Roman" w:cs="Times New Roman"/>
          <w:sz w:val="24"/>
          <w:szCs w:val="24"/>
        </w:rPr>
      </w:pPr>
    </w:p>
    <w:bookmarkStart w:id="48" w:name="_MON_1592904618"/>
    <w:bookmarkEnd w:id="48"/>
    <w:p w14:paraId="012FAE8B" w14:textId="5108514E" w:rsidR="0056179C" w:rsidRPr="004B0DA6" w:rsidRDefault="00F8523D" w:rsidP="00203597">
      <w:pPr>
        <w:spacing w:after="0"/>
        <w:outlineLvl w:val="0"/>
        <w:rPr>
          <w:rFonts w:ascii="Times New Roman" w:hAnsi="Times New Roman" w:cs="Times New Roman"/>
          <w:sz w:val="24"/>
          <w:szCs w:val="24"/>
        </w:rPr>
      </w:pPr>
      <w:r w:rsidRPr="004B0DA6">
        <w:rPr>
          <w:rFonts w:ascii="Times New Roman" w:hAnsi="Times New Roman" w:cs="Times New Roman"/>
          <w:sz w:val="24"/>
          <w:szCs w:val="24"/>
        </w:rPr>
        <w:object w:dxaOrig="9756" w:dyaOrig="1484" w14:anchorId="7D643EEA">
          <v:shape id="_x0000_i1045" type="#_x0000_t75" style="width:471pt;height:56.25pt" o:ole="">
            <v:imagedata r:id="rId66" o:title=""/>
          </v:shape>
          <o:OLEObject Type="Embed" ProgID="Excel.Sheet.8" ShapeID="_x0000_i1045" DrawAspect="Content" ObjectID="_1793012037" r:id="rId67"/>
        </w:object>
      </w:r>
    </w:p>
    <w:p w14:paraId="470E10E1" w14:textId="77777777" w:rsidR="0042444D" w:rsidRPr="004B0DA6" w:rsidRDefault="0042444D" w:rsidP="00203597">
      <w:pPr>
        <w:spacing w:after="0" w:line="240" w:lineRule="exact"/>
        <w:jc w:val="both"/>
        <w:outlineLvl w:val="0"/>
        <w:rPr>
          <w:rFonts w:ascii="Times New Roman" w:hAnsi="Times New Roman" w:cs="Times New Roman"/>
          <w:i/>
          <w:sz w:val="24"/>
          <w:szCs w:val="24"/>
        </w:rPr>
      </w:pPr>
    </w:p>
    <w:p w14:paraId="1D47BA4E" w14:textId="678DD415" w:rsidR="0056179C" w:rsidRPr="004B0DA6" w:rsidRDefault="0056179C" w:rsidP="00203597">
      <w:pPr>
        <w:spacing w:after="0" w:line="240" w:lineRule="exact"/>
        <w:jc w:val="both"/>
        <w:outlineLvl w:val="0"/>
        <w:rPr>
          <w:rFonts w:ascii="Times New Roman" w:hAnsi="Times New Roman" w:cs="Times New Roman"/>
          <w:sz w:val="24"/>
          <w:szCs w:val="24"/>
        </w:rPr>
      </w:pPr>
      <w:r w:rsidRPr="004B0DA6">
        <w:rPr>
          <w:rFonts w:ascii="Times New Roman" w:hAnsi="Times New Roman" w:cs="Times New Roman"/>
          <w:i/>
          <w:sz w:val="24"/>
          <w:szCs w:val="24"/>
        </w:rPr>
        <w:t>Sensitivity of the total OPEB liability to changes in the healthcare cost trend rates.</w:t>
      </w:r>
      <w:r w:rsidRPr="004B0DA6">
        <w:rPr>
          <w:rFonts w:ascii="Times New Roman" w:hAnsi="Times New Roman" w:cs="Times New Roman"/>
          <w:sz w:val="24"/>
          <w:szCs w:val="24"/>
        </w:rPr>
        <w:t xml:space="preserve"> The following presents the total OPEB liability of the City, as well as what the City’s total OPEB liability would be if it were calculated using healthcare cost trend rates that are 1-percentage-point lower or 1-percentage-point higher than the current healthcare cost trend rates:</w:t>
      </w:r>
    </w:p>
    <w:p w14:paraId="63C2F177" w14:textId="77777777" w:rsidR="0056179C" w:rsidRPr="004B0DA6" w:rsidRDefault="0056179C" w:rsidP="00203597">
      <w:pPr>
        <w:spacing w:after="0" w:line="240" w:lineRule="exact"/>
        <w:outlineLvl w:val="0"/>
        <w:rPr>
          <w:rFonts w:ascii="Times New Roman" w:hAnsi="Times New Roman" w:cs="Times New Roman"/>
          <w:sz w:val="24"/>
          <w:szCs w:val="24"/>
        </w:rPr>
      </w:pPr>
    </w:p>
    <w:bookmarkStart w:id="49" w:name="_MON_1592852014"/>
    <w:bookmarkEnd w:id="49"/>
    <w:p w14:paraId="48B6513D" w14:textId="649BAA9B" w:rsidR="0056179C" w:rsidRPr="004B0DA6" w:rsidRDefault="00826F0E" w:rsidP="00203597">
      <w:pPr>
        <w:spacing w:after="0"/>
        <w:outlineLvl w:val="0"/>
        <w:rPr>
          <w:rFonts w:ascii="Times New Roman" w:hAnsi="Times New Roman" w:cs="Times New Roman"/>
          <w:sz w:val="24"/>
          <w:szCs w:val="24"/>
        </w:rPr>
      </w:pPr>
      <w:r w:rsidRPr="004B0DA6">
        <w:rPr>
          <w:rFonts w:ascii="Times New Roman" w:hAnsi="Times New Roman" w:cs="Times New Roman"/>
          <w:sz w:val="24"/>
          <w:szCs w:val="24"/>
        </w:rPr>
        <w:object w:dxaOrig="9951" w:dyaOrig="1469" w14:anchorId="09CE8408">
          <v:shape id="_x0000_i1046" type="#_x0000_t75" style="width:482.25pt;height:72.75pt" o:ole="">
            <v:imagedata r:id="rId68" o:title=""/>
          </v:shape>
          <o:OLEObject Type="Embed" ProgID="Excel.Sheet.8" ShapeID="_x0000_i1046" DrawAspect="Content" ObjectID="_1793012038" r:id="rId69"/>
        </w:object>
      </w:r>
    </w:p>
    <w:p w14:paraId="15575BA4" w14:textId="77777777" w:rsidR="0056179C" w:rsidRPr="004B0DA6" w:rsidRDefault="0056179C" w:rsidP="00203597">
      <w:pPr>
        <w:spacing w:after="0"/>
        <w:outlineLvl w:val="0"/>
        <w:rPr>
          <w:rFonts w:ascii="Times New Roman" w:hAnsi="Times New Roman" w:cs="Times New Roman"/>
          <w:sz w:val="24"/>
          <w:szCs w:val="24"/>
          <w:highlight w:val="yellow"/>
        </w:rPr>
      </w:pPr>
    </w:p>
    <w:p w14:paraId="1B7B5A89" w14:textId="77777777" w:rsidR="00192DA7" w:rsidRPr="004B0DA6" w:rsidRDefault="00192DA7" w:rsidP="00203597">
      <w:pPr>
        <w:spacing w:after="0" w:line="240" w:lineRule="exact"/>
        <w:outlineLvl w:val="0"/>
        <w:rPr>
          <w:rFonts w:ascii="Times New Roman" w:hAnsi="Times New Roman" w:cs="Times New Roman"/>
          <w:b/>
          <w:sz w:val="24"/>
          <w:szCs w:val="24"/>
        </w:rPr>
      </w:pPr>
    </w:p>
    <w:p w14:paraId="74024DF4" w14:textId="77777777" w:rsidR="00192DA7" w:rsidRPr="004B0DA6" w:rsidRDefault="00192DA7" w:rsidP="00203597">
      <w:pPr>
        <w:spacing w:after="0" w:line="240" w:lineRule="exact"/>
        <w:outlineLvl w:val="0"/>
        <w:rPr>
          <w:rFonts w:ascii="Times New Roman" w:hAnsi="Times New Roman" w:cs="Times New Roman"/>
          <w:b/>
          <w:sz w:val="24"/>
          <w:szCs w:val="24"/>
        </w:rPr>
      </w:pPr>
    </w:p>
    <w:p w14:paraId="2813C44A" w14:textId="65652326" w:rsidR="0056179C" w:rsidRPr="004B0DA6" w:rsidRDefault="0056179C" w:rsidP="00203597">
      <w:pPr>
        <w:spacing w:after="0" w:line="240" w:lineRule="exact"/>
        <w:outlineLvl w:val="0"/>
        <w:rPr>
          <w:rFonts w:ascii="Times New Roman" w:hAnsi="Times New Roman" w:cs="Times New Roman"/>
          <w:sz w:val="24"/>
          <w:szCs w:val="24"/>
        </w:rPr>
      </w:pPr>
      <w:r w:rsidRPr="004B0DA6">
        <w:rPr>
          <w:rFonts w:ascii="Times New Roman" w:hAnsi="Times New Roman" w:cs="Times New Roman"/>
          <w:b/>
          <w:sz w:val="24"/>
          <w:szCs w:val="24"/>
        </w:rPr>
        <w:t>OPEB Expense and Deferred Outflows of Resources and Deferred Inflows of Resources Related to OPEB</w:t>
      </w:r>
    </w:p>
    <w:p w14:paraId="195E1909" w14:textId="77777777" w:rsidR="0056179C" w:rsidRPr="004B0DA6" w:rsidRDefault="0056179C" w:rsidP="00203597">
      <w:pPr>
        <w:spacing w:after="0" w:line="240" w:lineRule="exact"/>
        <w:outlineLvl w:val="0"/>
        <w:rPr>
          <w:rFonts w:ascii="Times New Roman" w:hAnsi="Times New Roman" w:cs="Times New Roman"/>
          <w:sz w:val="24"/>
          <w:szCs w:val="24"/>
        </w:rPr>
      </w:pPr>
    </w:p>
    <w:p w14:paraId="11FA7030" w14:textId="44E1ED21" w:rsidR="0056179C" w:rsidRPr="004B0DA6" w:rsidRDefault="0056179C" w:rsidP="00203597">
      <w:pPr>
        <w:spacing w:after="0" w:line="240" w:lineRule="exact"/>
        <w:jc w:val="both"/>
        <w:outlineLvl w:val="0"/>
        <w:rPr>
          <w:rFonts w:ascii="Times New Roman" w:hAnsi="Times New Roman" w:cs="Times New Roman"/>
          <w:sz w:val="24"/>
          <w:szCs w:val="24"/>
        </w:rPr>
      </w:pPr>
      <w:r w:rsidRPr="004B0DA6">
        <w:rPr>
          <w:rFonts w:ascii="Times New Roman" w:hAnsi="Times New Roman" w:cs="Times New Roman"/>
          <w:sz w:val="24"/>
          <w:szCs w:val="24"/>
        </w:rPr>
        <w:t xml:space="preserve">For the year ended June 30, </w:t>
      </w:r>
      <w:r w:rsidR="00A85B23" w:rsidRPr="004B0DA6">
        <w:rPr>
          <w:rFonts w:ascii="Times New Roman" w:hAnsi="Times New Roman" w:cs="Times New Roman"/>
          <w:sz w:val="24"/>
          <w:szCs w:val="24"/>
        </w:rPr>
        <w:t>202</w:t>
      </w:r>
      <w:r w:rsidR="008A1662" w:rsidRPr="004B0DA6">
        <w:rPr>
          <w:rFonts w:ascii="Times New Roman" w:hAnsi="Times New Roman" w:cs="Times New Roman"/>
          <w:sz w:val="24"/>
          <w:szCs w:val="24"/>
        </w:rPr>
        <w:t>4</w:t>
      </w:r>
      <w:r w:rsidRPr="004B0DA6">
        <w:rPr>
          <w:rFonts w:ascii="Times New Roman" w:hAnsi="Times New Roman" w:cs="Times New Roman"/>
          <w:sz w:val="24"/>
          <w:szCs w:val="24"/>
        </w:rPr>
        <w:t xml:space="preserve">, the City recognized OPEB expense of $83,840.  At June 30, </w:t>
      </w:r>
      <w:r w:rsidR="00A85B23" w:rsidRPr="004B0DA6">
        <w:rPr>
          <w:rFonts w:ascii="Times New Roman" w:hAnsi="Times New Roman" w:cs="Times New Roman"/>
          <w:sz w:val="24"/>
          <w:szCs w:val="24"/>
        </w:rPr>
        <w:t>202</w:t>
      </w:r>
      <w:r w:rsidR="008A1662" w:rsidRPr="004B0DA6">
        <w:rPr>
          <w:rFonts w:ascii="Times New Roman" w:hAnsi="Times New Roman" w:cs="Times New Roman"/>
          <w:sz w:val="24"/>
          <w:szCs w:val="24"/>
        </w:rPr>
        <w:t>4</w:t>
      </w:r>
      <w:r w:rsidRPr="004B0DA6">
        <w:rPr>
          <w:rFonts w:ascii="Times New Roman" w:hAnsi="Times New Roman" w:cs="Times New Roman"/>
          <w:sz w:val="24"/>
          <w:szCs w:val="24"/>
        </w:rPr>
        <w:t>, the City reported deferred outflows of resources and deferred inflows of resources related to OPEB from the following sources:</w:t>
      </w:r>
    </w:p>
    <w:bookmarkStart w:id="50" w:name="_MON_1751221567"/>
    <w:bookmarkEnd w:id="50"/>
    <w:p w14:paraId="4FAE9B95" w14:textId="38FE6C17" w:rsidR="0056179C" w:rsidRPr="004B0DA6" w:rsidRDefault="00495C9E" w:rsidP="00203597">
      <w:pPr>
        <w:spacing w:after="0"/>
        <w:outlineLvl w:val="0"/>
        <w:rPr>
          <w:rFonts w:ascii="Times New Roman" w:hAnsi="Times New Roman" w:cs="Times New Roman"/>
          <w:sz w:val="24"/>
          <w:szCs w:val="24"/>
        </w:rPr>
      </w:pPr>
      <w:r w:rsidRPr="004B0DA6">
        <w:rPr>
          <w:rFonts w:ascii="Times New Roman" w:hAnsi="Times New Roman" w:cs="Times New Roman"/>
          <w:sz w:val="24"/>
          <w:szCs w:val="24"/>
        </w:rPr>
        <w:object w:dxaOrig="9243" w:dyaOrig="2369" w14:anchorId="52ABE578">
          <v:shape id="_x0000_i1047" type="#_x0000_t75" style="width:460.5pt;height:117.75pt" o:ole="">
            <v:imagedata r:id="rId70" o:title=""/>
          </v:shape>
          <o:OLEObject Type="Embed" ProgID="Excel.Sheet.8" ShapeID="_x0000_i1047" DrawAspect="Content" ObjectID="_1793012039" r:id="rId71"/>
        </w:object>
      </w:r>
    </w:p>
    <w:p w14:paraId="78937B2B" w14:textId="77777777" w:rsidR="0056179C" w:rsidRPr="004B0DA6" w:rsidRDefault="0056179C" w:rsidP="00203597">
      <w:pPr>
        <w:spacing w:after="0" w:line="240" w:lineRule="exact"/>
        <w:outlineLvl w:val="0"/>
        <w:rPr>
          <w:rFonts w:ascii="Times New Roman" w:hAnsi="Times New Roman" w:cs="Times New Roman"/>
          <w:sz w:val="24"/>
          <w:szCs w:val="24"/>
        </w:rPr>
      </w:pPr>
    </w:p>
    <w:p w14:paraId="4CE90ADE" w14:textId="77777777" w:rsidR="0056179C" w:rsidRPr="004B0DA6" w:rsidRDefault="0056179C" w:rsidP="00203597">
      <w:pPr>
        <w:spacing w:after="0" w:line="240" w:lineRule="exact"/>
        <w:outlineLvl w:val="0"/>
        <w:rPr>
          <w:rFonts w:ascii="Times New Roman" w:hAnsi="Times New Roman" w:cs="Times New Roman"/>
          <w:sz w:val="24"/>
          <w:szCs w:val="24"/>
        </w:rPr>
      </w:pPr>
    </w:p>
    <w:p w14:paraId="3BF6A752" w14:textId="2A52F769"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$45,050 reported as deferred outflows of resources related to OPEB resulting from benefit payments made and administrative expenses incurred </w:t>
      </w:r>
      <w:proofErr w:type="gramStart"/>
      <w:r w:rsidRPr="004B0DA6">
        <w:rPr>
          <w:rFonts w:ascii="Times New Roman" w:hAnsi="Times New Roman" w:cs="Times New Roman"/>
          <w:sz w:val="24"/>
          <w:szCs w:val="24"/>
        </w:rPr>
        <w:t>subsequent to</w:t>
      </w:r>
      <w:proofErr w:type="gramEnd"/>
      <w:r w:rsidRPr="004B0DA6">
        <w:rPr>
          <w:rFonts w:ascii="Times New Roman" w:hAnsi="Times New Roman" w:cs="Times New Roman"/>
          <w:sz w:val="24"/>
          <w:szCs w:val="24"/>
        </w:rPr>
        <w:t xml:space="preserve"> the measurement date will be recognized as a decrease of the total pension liability in the year ended June 30, 202</w:t>
      </w:r>
      <w:r w:rsidR="008A1662" w:rsidRPr="004B0DA6">
        <w:rPr>
          <w:rFonts w:ascii="Times New Roman" w:hAnsi="Times New Roman" w:cs="Times New Roman"/>
          <w:sz w:val="24"/>
          <w:szCs w:val="24"/>
        </w:rPr>
        <w:t>4</w:t>
      </w:r>
      <w:r w:rsidRPr="004B0DA6">
        <w:rPr>
          <w:rFonts w:ascii="Times New Roman" w:hAnsi="Times New Roman" w:cs="Times New Roman"/>
          <w:sz w:val="24"/>
          <w:szCs w:val="24"/>
        </w:rPr>
        <w:t>.  Other amounts reported as deferred inflows of resources related to pensions will be recognized in pension expense as follows:</w:t>
      </w:r>
    </w:p>
    <w:p w14:paraId="45626641" w14:textId="77777777" w:rsidR="00F8523D" w:rsidRPr="004B0DA6" w:rsidRDefault="00F8523D" w:rsidP="00203597">
      <w:pPr>
        <w:spacing w:after="0"/>
        <w:outlineLvl w:val="0"/>
        <w:rPr>
          <w:rFonts w:ascii="Times New Roman" w:hAnsi="Times New Roman" w:cs="Times New Roman"/>
          <w:sz w:val="24"/>
          <w:szCs w:val="24"/>
        </w:rPr>
      </w:pPr>
    </w:p>
    <w:bookmarkStart w:id="51" w:name="_MON_1593767016"/>
    <w:bookmarkEnd w:id="51"/>
    <w:p w14:paraId="007DC019" w14:textId="769B7848" w:rsidR="0056179C" w:rsidRPr="004B0DA6" w:rsidRDefault="00FF1D98" w:rsidP="00203597">
      <w:pPr>
        <w:spacing w:after="0"/>
        <w:outlineLvl w:val="0"/>
        <w:rPr>
          <w:rFonts w:ascii="Times New Roman" w:hAnsi="Times New Roman" w:cs="Times New Roman"/>
          <w:sz w:val="24"/>
          <w:szCs w:val="24"/>
        </w:rPr>
      </w:pPr>
      <w:r w:rsidRPr="004B0DA6">
        <w:rPr>
          <w:rFonts w:ascii="Times New Roman" w:hAnsi="Times New Roman" w:cs="Times New Roman"/>
          <w:sz w:val="24"/>
          <w:szCs w:val="24"/>
        </w:rPr>
        <w:object w:dxaOrig="7500" w:dyaOrig="2192" w14:anchorId="278F2023">
          <v:shape id="_x0000_i1048" type="#_x0000_t75" style="width:366.75pt;height:109.5pt" o:ole="">
            <v:imagedata r:id="rId72" o:title=""/>
          </v:shape>
          <o:OLEObject Type="Embed" ProgID="Excel.Sheet.8" ShapeID="_x0000_i1048" DrawAspect="Content" ObjectID="_1793012040" r:id="rId73"/>
        </w:object>
      </w:r>
    </w:p>
    <w:p w14:paraId="57EB677F" w14:textId="77777777" w:rsidR="0056179C" w:rsidRPr="004B0DA6" w:rsidRDefault="0056179C" w:rsidP="00203597">
      <w:pPr>
        <w:spacing w:after="0" w:line="240" w:lineRule="exact"/>
        <w:outlineLvl w:val="0"/>
        <w:rPr>
          <w:rFonts w:ascii="Times New Roman" w:hAnsi="Times New Roman" w:cs="Times New Roman"/>
          <w:sz w:val="24"/>
        </w:rPr>
      </w:pPr>
    </w:p>
    <w:p w14:paraId="5DA71D82" w14:textId="7A562093" w:rsidR="0056179C" w:rsidRPr="004B0DA6" w:rsidRDefault="0056179C" w:rsidP="00203597">
      <w:pPr>
        <w:spacing w:after="0" w:line="240" w:lineRule="exact"/>
        <w:outlineLvl w:val="0"/>
        <w:rPr>
          <w:rFonts w:ascii="Times New Roman" w:hAnsi="Times New Roman" w:cs="Times New Roman"/>
        </w:rPr>
      </w:pPr>
      <w:r w:rsidRPr="004B0DA6">
        <w:rPr>
          <w:rFonts w:ascii="Times New Roman" w:hAnsi="Times New Roman" w:cs="Times New Roman"/>
          <w:sz w:val="24"/>
        </w:rPr>
        <w:t xml:space="preserve">2. </w:t>
      </w:r>
      <w:r w:rsidRPr="004B0DA6">
        <w:rPr>
          <w:rFonts w:ascii="Times New Roman" w:hAnsi="Times New Roman" w:cs="Times New Roman"/>
          <w:sz w:val="24"/>
          <w:u w:val="single"/>
        </w:rPr>
        <w:t>Other Employment Benefits</w:t>
      </w:r>
    </w:p>
    <w:p w14:paraId="6F23E542" w14:textId="77777777"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The City has elected to provide death benefits to employees through the Death Benefit Plan for members of the Local Governmental Employees' Retirement System (Death Benefit Plan), a multiple-employer, State-administered, cost-sharing plan funded on a one-year term cost basis.  The beneficiaries of those employees who die in active service after one year of contributing membership in the System, or who die within 180 days after retirement or termination of service and have at least one year of contributing membership service in the System at the time of death are eligible for death benefits.  Lump sum death benefit payments to beneficiaries are equal to the employee's 12 highest months’ salary in a row during the 24 months prior to the employee's death, but the benefit may not exceed $50,000 or be less than $25,000.  Because all death benefit payments are made from the Death Benefit Plan and not by the City, the City does not determine the number of eligible participants.  The City has no liability beyond the payment of monthly contributions.    The contributions to the Death Benefit Plan cannot be separated between the post-</w:t>
      </w:r>
      <w:r w:rsidRPr="004B0DA6">
        <w:rPr>
          <w:rFonts w:ascii="Times New Roman" w:hAnsi="Times New Roman" w:cs="Times New Roman"/>
          <w:sz w:val="24"/>
        </w:rPr>
        <w:lastRenderedPageBreak/>
        <w:t>employment benefit amount and the other benefit amount.  Contributions are determined as a percentage of monthly payroll based upon rates established annually by the State.  Separate rates are set for employees not engaged in law enforcement and for law enforcement officers.  The City considers these contributions to be immaterial.</w:t>
      </w:r>
    </w:p>
    <w:p w14:paraId="139BC933" w14:textId="77777777" w:rsidR="00192DA7" w:rsidRPr="004B0DA6" w:rsidRDefault="00192DA7" w:rsidP="00203597">
      <w:pPr>
        <w:spacing w:after="0"/>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56179C" w:rsidRPr="004B0DA6" w14:paraId="062A7DE9" w14:textId="77777777" w:rsidTr="00F9386B">
        <w:tc>
          <w:tcPr>
            <w:tcW w:w="8928"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72072ADF" w14:textId="031CEB91"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b/>
                <w:bCs/>
                <w:sz w:val="24"/>
              </w:rPr>
              <w:t>Note to preparer</w:t>
            </w:r>
            <w:r w:rsidRPr="004B0DA6">
              <w:rPr>
                <w:rFonts w:ascii="Times New Roman" w:hAnsi="Times New Roman" w:cs="Times New Roman"/>
                <w:sz w:val="24"/>
              </w:rPr>
              <w:t xml:space="preserve">: In the disclosure above, the Board opted to provide the Local Government Employees’ Retirement System (LGERS) as the only group-term life insurance available to an employee.  This insurance has a maximum limit of $50,000.  </w:t>
            </w:r>
          </w:p>
          <w:p w14:paraId="067308EF" w14:textId="77777777"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xml:space="preserve">If your unit provides additional group-term life insurance, please include a description of the policy in the above note.  In addition, please note that the benefits </w:t>
            </w:r>
            <w:proofErr w:type="gramStart"/>
            <w:r w:rsidRPr="004B0DA6">
              <w:rPr>
                <w:rFonts w:ascii="Times New Roman" w:hAnsi="Times New Roman" w:cs="Times New Roman"/>
                <w:sz w:val="24"/>
              </w:rPr>
              <w:t>in excess of</w:t>
            </w:r>
            <w:proofErr w:type="gramEnd"/>
            <w:r w:rsidRPr="004B0DA6">
              <w:rPr>
                <w:rFonts w:ascii="Times New Roman" w:hAnsi="Times New Roman" w:cs="Times New Roman"/>
                <w:sz w:val="24"/>
              </w:rPr>
              <w:t xml:space="preserve"> $50,000 are considered taxable to the employee as a fringe benefit.  Please see Memorandum #1048 for further discussion.</w:t>
            </w:r>
          </w:p>
        </w:tc>
      </w:tr>
    </w:tbl>
    <w:p w14:paraId="542196E0" w14:textId="77777777" w:rsidR="00F37620" w:rsidRPr="004B0DA6" w:rsidRDefault="00F37620" w:rsidP="007A4AD5">
      <w:pPr>
        <w:pStyle w:val="ListParagraph"/>
        <w:keepNext/>
        <w:rPr>
          <w:u w:val="single"/>
        </w:rPr>
      </w:pPr>
    </w:p>
    <w:p w14:paraId="03CBD7F7" w14:textId="15B9F6D8" w:rsidR="0056179C" w:rsidRPr="004B0DA6" w:rsidRDefault="0056179C" w:rsidP="007A4AD5">
      <w:pPr>
        <w:pStyle w:val="ListParagraph"/>
        <w:keepNext/>
        <w:numPr>
          <w:ilvl w:val="0"/>
          <w:numId w:val="32"/>
        </w:numPr>
        <w:rPr>
          <w:u w:val="single"/>
        </w:rPr>
      </w:pPr>
      <w:r w:rsidRPr="004B0DA6">
        <w:rPr>
          <w:u w:val="single"/>
        </w:rPr>
        <w:t>Risk Management</w:t>
      </w:r>
    </w:p>
    <w:p w14:paraId="07A6154C" w14:textId="77777777" w:rsidR="00F8523D" w:rsidRPr="004B0DA6" w:rsidRDefault="00F8523D" w:rsidP="00F8523D">
      <w:pPr>
        <w:pStyle w:val="ListParagraph"/>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56179C" w:rsidRPr="004B0DA6" w14:paraId="4109366C" w14:textId="77777777" w:rsidTr="00F9386B">
        <w:trPr>
          <w:trHeight w:val="494"/>
        </w:trPr>
        <w:tc>
          <w:tcPr>
            <w:tcW w:w="88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3E28DF3F" w14:textId="4BEA4A9D" w:rsidR="0056179C" w:rsidRPr="004B0DA6" w:rsidRDefault="0056179C" w:rsidP="00203597">
            <w:pPr>
              <w:keepNext/>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This section concerning risk and insurance pools should be</w:t>
            </w:r>
            <w:r w:rsidR="00FF129E" w:rsidRPr="004B0DA6">
              <w:rPr>
                <w:rFonts w:ascii="Times New Roman" w:hAnsi="Times New Roman" w:cs="Times New Roman"/>
                <w:sz w:val="24"/>
                <w:szCs w:val="24"/>
              </w:rPr>
              <w:t xml:space="preserve"> </w:t>
            </w:r>
            <w:r w:rsidRPr="004B0DA6">
              <w:rPr>
                <w:rFonts w:ascii="Times New Roman" w:hAnsi="Times New Roman" w:cs="Times New Roman"/>
                <w:sz w:val="24"/>
                <w:szCs w:val="24"/>
              </w:rPr>
              <w:t xml:space="preserve"> in compliance with GASB </w:t>
            </w:r>
            <w:r w:rsidR="007A7239" w:rsidRPr="004B0DA6">
              <w:rPr>
                <w:rFonts w:ascii="Times New Roman" w:hAnsi="Times New Roman" w:cs="Times New Roman"/>
                <w:sz w:val="24"/>
                <w:szCs w:val="24"/>
                <w:highlight w:val="yellow"/>
              </w:rPr>
              <w:t>3</w:t>
            </w:r>
            <w:r w:rsidRPr="004B0DA6">
              <w:rPr>
                <w:rFonts w:ascii="Times New Roman" w:hAnsi="Times New Roman" w:cs="Times New Roman"/>
                <w:sz w:val="24"/>
                <w:szCs w:val="24"/>
                <w:highlight w:val="yellow"/>
              </w:rPr>
              <w:t>0</w:t>
            </w:r>
            <w:r w:rsidRPr="004B0DA6">
              <w:rPr>
                <w:rFonts w:ascii="Times New Roman" w:hAnsi="Times New Roman" w:cs="Times New Roman"/>
                <w:sz w:val="24"/>
                <w:szCs w:val="24"/>
              </w:rPr>
              <w:t xml:space="preserve"> and provide details relevant to your government.  Coverage will vary between governments.</w:t>
            </w:r>
          </w:p>
        </w:tc>
      </w:tr>
    </w:tbl>
    <w:p w14:paraId="2D4A12C8" w14:textId="77777777" w:rsidR="00024EC3" w:rsidRPr="004B0DA6" w:rsidRDefault="00024EC3" w:rsidP="00203597">
      <w:pPr>
        <w:spacing w:after="0"/>
        <w:jc w:val="both"/>
        <w:rPr>
          <w:rFonts w:ascii="Times New Roman" w:hAnsi="Times New Roman" w:cs="Times New Roman"/>
          <w:sz w:val="24"/>
          <w:szCs w:val="24"/>
        </w:rPr>
      </w:pPr>
    </w:p>
    <w:p w14:paraId="26ADA12D" w14:textId="0BAAAA0B"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City is exposed to various risks of loss related to torts; theft of, damage to, and destruction of assets; errors and omissions; injuries to employees; and natural disasters.  The City participates in three self-funded risk-financing pools administered by the North Carolina League of Municipalities.  Through these pools, the City obtains general liability and auto liability coverage of $1 million per occurrence, property coverage up to the total insured values of the property policy, workers’ compensation coverage up to statutory limits, and employee health coverage.  The liability and property exposures are reinsured through commercial carriers for claims </w:t>
      </w:r>
      <w:proofErr w:type="gramStart"/>
      <w:r w:rsidRPr="004B0DA6">
        <w:rPr>
          <w:rFonts w:ascii="Times New Roman" w:hAnsi="Times New Roman" w:cs="Times New Roman"/>
          <w:sz w:val="24"/>
          <w:szCs w:val="24"/>
        </w:rPr>
        <w:t>in excess of</w:t>
      </w:r>
      <w:proofErr w:type="gramEnd"/>
      <w:r w:rsidRPr="004B0DA6">
        <w:rPr>
          <w:rFonts w:ascii="Times New Roman" w:hAnsi="Times New Roman" w:cs="Times New Roman"/>
          <w:sz w:val="24"/>
          <w:szCs w:val="24"/>
        </w:rPr>
        <w:t xml:space="preserve"> retentions as selected by the Board of Trustees each year.   Excess insurance coverage is purchased by the Board of Trustees to protect against large workers’ compensation claims that exceed certain dollar cost levels.  Medical stop loss insurance is purchased by the Board of Trustees to protect against large medical claims that exceed certain dollar cost levels.  Specific information on the limits of the reinsurance, excess and stop loss policies purchased by the Board of Trustees can be obtained by contacting the Risk Management Services Department of the NC League of Municipalities. The pools are audited annually by certified public accountants, and the audited financial statements are available to the City upon request. </w:t>
      </w:r>
    </w:p>
    <w:p w14:paraId="02411A2C" w14:textId="7C2CF330"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City carries commercial coverage for all other risks of loss.  There have been no significant reductions in insurance coverage </w:t>
      </w:r>
      <w:r w:rsidR="00074557" w:rsidRPr="004B0DA6">
        <w:rPr>
          <w:rFonts w:ascii="Times New Roman" w:hAnsi="Times New Roman" w:cs="Times New Roman"/>
          <w:sz w:val="24"/>
          <w:szCs w:val="24"/>
        </w:rPr>
        <w:t>from</w:t>
      </w:r>
      <w:r w:rsidRPr="004B0DA6">
        <w:rPr>
          <w:rFonts w:ascii="Times New Roman" w:hAnsi="Times New Roman" w:cs="Times New Roman"/>
          <w:sz w:val="24"/>
          <w:szCs w:val="24"/>
        </w:rPr>
        <w:t xml:space="preserve"> the prior year and settled claims have not exceeded </w:t>
      </w:r>
      <w:r w:rsidR="00074557" w:rsidRPr="004B0DA6">
        <w:rPr>
          <w:rFonts w:ascii="Times New Roman" w:hAnsi="Times New Roman" w:cs="Times New Roman"/>
          <w:sz w:val="24"/>
          <w:szCs w:val="24"/>
        </w:rPr>
        <w:t xml:space="preserve">insurance </w:t>
      </w:r>
      <w:r w:rsidRPr="004B0DA6">
        <w:rPr>
          <w:rFonts w:ascii="Times New Roman" w:hAnsi="Times New Roman" w:cs="Times New Roman"/>
          <w:sz w:val="24"/>
          <w:szCs w:val="24"/>
        </w:rPr>
        <w:t>coverage in any of the past three fiscal years.</w:t>
      </w:r>
    </w:p>
    <w:p w14:paraId="2BE8E4A0" w14:textId="77777777" w:rsidR="00F8523D" w:rsidRPr="004B0DA6" w:rsidRDefault="00F8523D" w:rsidP="00203597">
      <w:pPr>
        <w:spacing w:after="0"/>
        <w:jc w:val="both"/>
        <w:rPr>
          <w:rFonts w:ascii="Times New Roman" w:hAnsi="Times New Roman" w:cs="Times New Roman"/>
          <w:sz w:val="24"/>
          <w:szCs w:val="24"/>
        </w:rPr>
      </w:pPr>
    </w:p>
    <w:p w14:paraId="1695B944" w14:textId="2427F4D9"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City carries flood insurance through the National Flood Insurance Plan (NFIP).  Because the City is in an area of the State that has been mapped and designated an “A” area (an area close to a river, lake, or stream) by the Federal Emergency Management Agency, the City is eligible to </w:t>
      </w:r>
      <w:r w:rsidRPr="004B0DA6">
        <w:rPr>
          <w:rFonts w:ascii="Times New Roman" w:hAnsi="Times New Roman" w:cs="Times New Roman"/>
          <w:sz w:val="24"/>
          <w:szCs w:val="24"/>
        </w:rPr>
        <w:lastRenderedPageBreak/>
        <w:t xml:space="preserve">purchase coverage of $500,000 per structure through the NFIP.  The City also is eligible to and has purchased commercial flood insurance for another $1,500,000 of coverage per structure. </w:t>
      </w:r>
    </w:p>
    <w:p w14:paraId="1A25E234" w14:textId="77777777" w:rsidR="00AD59BE" w:rsidRPr="004B0DA6" w:rsidRDefault="00AD59BE" w:rsidP="00203597">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9"/>
      </w:tblGrid>
      <w:tr w:rsidR="0056179C" w:rsidRPr="004B0DA6" w14:paraId="27E959A6" w14:textId="77777777" w:rsidTr="00F9386B">
        <w:tc>
          <w:tcPr>
            <w:tcW w:w="9029"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08F130CA" w14:textId="77777777"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xml:space="preserve">: The carrying of flood insurance by the unit to avoid possible significant loss should be included in the note disclosure above.  If the unit does not hold any flood insurance, a statement to that effect should be noted.  The unit may then add a statement explaining their position for not securing the flood insurance. </w:t>
            </w:r>
          </w:p>
        </w:tc>
      </w:tr>
    </w:tbl>
    <w:p w14:paraId="3E210BD9" w14:textId="77777777" w:rsidR="0056179C" w:rsidRPr="004B0DA6" w:rsidRDefault="0056179C" w:rsidP="00203597">
      <w:pPr>
        <w:spacing w:after="0"/>
        <w:jc w:val="both"/>
        <w:rPr>
          <w:rFonts w:ascii="Times New Roman" w:hAnsi="Times New Roman" w:cs="Times New Roman"/>
          <w:sz w:val="24"/>
          <w:szCs w:val="24"/>
        </w:rPr>
      </w:pPr>
    </w:p>
    <w:p w14:paraId="17788EBD" w14:textId="2097A605"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In accordance with G.S. 159-29, the City’s employees that have access to $100 or more at any given time of the City’s funds are performance bonded through a commercial surety bond.  The finance officer </w:t>
      </w:r>
      <w:r w:rsidR="00B136CA" w:rsidRPr="004B0DA6">
        <w:rPr>
          <w:rFonts w:ascii="Times New Roman" w:hAnsi="Times New Roman" w:cs="Times New Roman"/>
          <w:sz w:val="24"/>
          <w:szCs w:val="24"/>
        </w:rPr>
        <w:t>is</w:t>
      </w:r>
      <w:r w:rsidRPr="004B0DA6">
        <w:rPr>
          <w:rFonts w:ascii="Times New Roman" w:hAnsi="Times New Roman" w:cs="Times New Roman"/>
          <w:sz w:val="24"/>
          <w:szCs w:val="24"/>
        </w:rPr>
        <w:t xml:space="preserve"> individually bonded for $</w:t>
      </w:r>
      <w:r w:rsidR="007060BC" w:rsidRPr="004B0DA6">
        <w:rPr>
          <w:rFonts w:ascii="Times New Roman" w:hAnsi="Times New Roman" w:cs="Times New Roman"/>
          <w:sz w:val="24"/>
          <w:szCs w:val="24"/>
        </w:rPr>
        <w:t>1,0</w:t>
      </w:r>
      <w:r w:rsidRPr="004B0DA6">
        <w:rPr>
          <w:rFonts w:ascii="Times New Roman" w:hAnsi="Times New Roman" w:cs="Times New Roman"/>
          <w:sz w:val="24"/>
          <w:szCs w:val="24"/>
        </w:rPr>
        <w:t xml:space="preserve">00,000.  The remaining employees that have access to funds are bonded under a blanket bond for $250,000.  </w:t>
      </w:r>
    </w:p>
    <w:p w14:paraId="74C8C3C3" w14:textId="77777777" w:rsidR="00F8523D" w:rsidRPr="004B0DA6" w:rsidRDefault="00F8523D" w:rsidP="00203597">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56179C" w:rsidRPr="004B0DA6" w14:paraId="71E48AAB" w14:textId="77777777" w:rsidTr="00F9386B">
        <w:tc>
          <w:tcPr>
            <w:tcW w:w="106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33ACE8D9" w14:textId="4EC2EB84" w:rsidR="00AB7B20" w:rsidRPr="004B0DA6" w:rsidRDefault="0056179C" w:rsidP="00AB7B20">
            <w:pPr>
              <w:spacing w:after="120" w:line="252" w:lineRule="auto"/>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xml:space="preserve">: </w:t>
            </w:r>
            <w:r w:rsidRPr="004B0DA6">
              <w:rPr>
                <w:rFonts w:ascii="Times New Roman" w:hAnsi="Times New Roman" w:cs="Times New Roman"/>
                <w:sz w:val="24"/>
                <w:szCs w:val="24"/>
                <w:highlight w:val="yellow"/>
              </w:rPr>
              <w:t xml:space="preserve">The carrying of a performance bond of the Finance Officer’s position and a blanket bond for all others who have access to the local government’s assets in excess of $100 is required by </w:t>
            </w:r>
            <w:hyperlink r:id="rId74" w:history="1">
              <w:r w:rsidR="00084A33" w:rsidRPr="004B0DA6">
                <w:rPr>
                  <w:rFonts w:ascii="Times New Roman" w:hAnsi="Times New Roman" w:cs="Times New Roman"/>
                  <w:color w:val="0000FF"/>
                  <w:sz w:val="24"/>
                  <w:szCs w:val="24"/>
                  <w:highlight w:val="yellow"/>
                  <w:u w:val="single"/>
                </w:rPr>
                <w:t>G.S. 159-29</w:t>
              </w:r>
            </w:hyperlink>
            <w:r w:rsidR="00AB7B20" w:rsidRPr="004B0DA6">
              <w:rPr>
                <w:rFonts w:ascii="Times New Roman" w:hAnsi="Times New Roman" w:cs="Times New Roman"/>
                <w:sz w:val="24"/>
                <w:szCs w:val="24"/>
                <w:highlight w:val="yellow"/>
              </w:rPr>
              <w:t xml:space="preserve"> as revised</w:t>
            </w:r>
            <w:r w:rsidR="00084A33" w:rsidRPr="004B0DA6">
              <w:rPr>
                <w:rFonts w:ascii="Times New Roman" w:hAnsi="Times New Roman" w:cs="Times New Roman"/>
                <w:sz w:val="24"/>
                <w:szCs w:val="24"/>
                <w:highlight w:val="yellow"/>
              </w:rPr>
              <w:t xml:space="preserve">. </w:t>
            </w:r>
            <w:r w:rsidRPr="004B0DA6">
              <w:rPr>
                <w:rFonts w:ascii="Times New Roman" w:hAnsi="Times New Roman" w:cs="Times New Roman"/>
                <w:sz w:val="24"/>
                <w:szCs w:val="24"/>
                <w:highlight w:val="yellow"/>
              </w:rPr>
              <w:t xml:space="preserve"> Please disclose the amounts of the fidelity bond and blanket bond separately.  In cases in which</w:t>
            </w:r>
            <w:r w:rsidR="00AB7B20" w:rsidRPr="004B0DA6">
              <w:rPr>
                <w:rFonts w:ascii="Times New Roman" w:hAnsi="Times New Roman" w:cs="Times New Roman"/>
                <w:sz w:val="24"/>
                <w:szCs w:val="24"/>
                <w:highlight w:val="yellow"/>
              </w:rPr>
              <w:t xml:space="preserve"> an individual </w:t>
            </w:r>
            <w:r w:rsidRPr="004B0DA6">
              <w:rPr>
                <w:rFonts w:ascii="Times New Roman" w:hAnsi="Times New Roman" w:cs="Times New Roman"/>
                <w:sz w:val="24"/>
                <w:szCs w:val="24"/>
                <w:highlight w:val="yellow"/>
              </w:rPr>
              <w:t xml:space="preserve"> serves as </w:t>
            </w:r>
            <w:r w:rsidR="00AB7B20" w:rsidRPr="004B0DA6">
              <w:rPr>
                <w:rFonts w:ascii="Times New Roman" w:hAnsi="Times New Roman" w:cs="Times New Roman"/>
                <w:sz w:val="24"/>
                <w:szCs w:val="24"/>
                <w:highlight w:val="yellow"/>
              </w:rPr>
              <w:t>F</w:t>
            </w:r>
            <w:r w:rsidRPr="004B0DA6">
              <w:rPr>
                <w:rFonts w:ascii="Times New Roman" w:hAnsi="Times New Roman" w:cs="Times New Roman"/>
                <w:sz w:val="24"/>
                <w:szCs w:val="24"/>
                <w:highlight w:val="yellow"/>
              </w:rPr>
              <w:t xml:space="preserve">inance </w:t>
            </w:r>
            <w:r w:rsidR="00AB7B20" w:rsidRPr="004B0DA6">
              <w:rPr>
                <w:rFonts w:ascii="Times New Roman" w:hAnsi="Times New Roman" w:cs="Times New Roman"/>
                <w:sz w:val="24"/>
                <w:szCs w:val="24"/>
                <w:highlight w:val="yellow"/>
              </w:rPr>
              <w:t>O</w:t>
            </w:r>
            <w:r w:rsidRPr="004B0DA6">
              <w:rPr>
                <w:rFonts w:ascii="Times New Roman" w:hAnsi="Times New Roman" w:cs="Times New Roman"/>
                <w:sz w:val="24"/>
                <w:szCs w:val="24"/>
                <w:highlight w:val="yellow"/>
              </w:rPr>
              <w:t xml:space="preserve">fficer for two separate entities, a </w:t>
            </w:r>
            <w:r w:rsidR="00BF6A8C" w:rsidRPr="004B0DA6">
              <w:rPr>
                <w:rFonts w:ascii="Times New Roman" w:hAnsi="Times New Roman" w:cs="Times New Roman"/>
                <w:sz w:val="24"/>
                <w:szCs w:val="24"/>
                <w:highlight w:val="yellow"/>
              </w:rPr>
              <w:t>City,</w:t>
            </w:r>
            <w:r w:rsidRPr="004B0DA6">
              <w:rPr>
                <w:rFonts w:ascii="Times New Roman" w:hAnsi="Times New Roman" w:cs="Times New Roman"/>
                <w:sz w:val="24"/>
                <w:szCs w:val="24"/>
                <w:highlight w:val="yellow"/>
              </w:rPr>
              <w:t xml:space="preserve"> and a Tourism Development Authority, for example, </w:t>
            </w:r>
            <w:r w:rsidR="00AB7B20" w:rsidRPr="004B0DA6">
              <w:rPr>
                <w:rFonts w:ascii="Times New Roman" w:hAnsi="Times New Roman" w:cs="Times New Roman"/>
                <w:sz w:val="24"/>
                <w:szCs w:val="24"/>
                <w:highlight w:val="yellow"/>
              </w:rPr>
              <w:t xml:space="preserve">a separate bond is required to protect </w:t>
            </w:r>
            <w:r w:rsidRPr="004B0DA6">
              <w:rPr>
                <w:rFonts w:ascii="Times New Roman" w:hAnsi="Times New Roman" w:cs="Times New Roman"/>
                <w:sz w:val="24"/>
                <w:szCs w:val="24"/>
                <w:highlight w:val="yellow"/>
              </w:rPr>
              <w:t>each unit</w:t>
            </w:r>
            <w:r w:rsidR="00AB7B20" w:rsidRPr="004B0DA6">
              <w:rPr>
                <w:rFonts w:ascii="Times New Roman" w:hAnsi="Times New Roman" w:cs="Times New Roman"/>
                <w:sz w:val="24"/>
                <w:szCs w:val="24"/>
                <w:highlight w:val="yellow"/>
              </w:rPr>
              <w:t>.</w:t>
            </w:r>
            <w:r w:rsidR="00BA4ADB" w:rsidRPr="004B0DA6">
              <w:rPr>
                <w:rFonts w:ascii="Times New Roman" w:hAnsi="Times New Roman" w:cs="Times New Roman"/>
                <w:sz w:val="24"/>
                <w:szCs w:val="24"/>
                <w:highlight w:val="yellow"/>
              </w:rPr>
              <w:t xml:space="preserve"> See  </w:t>
            </w:r>
            <w:hyperlink r:id="rId75" w:history="1">
              <w:r w:rsidR="00804ACC" w:rsidRPr="004B0DA6">
                <w:rPr>
                  <w:rStyle w:val="Hyperlink"/>
                  <w:rFonts w:ascii="Times New Roman" w:hAnsi="Times New Roman" w:cs="Times New Roman"/>
                  <w:sz w:val="24"/>
                  <w:szCs w:val="24"/>
                  <w:highlight w:val="yellow"/>
                </w:rPr>
                <w:t>Memorandum #2023-06 Revised Fidelity Bond Requirements</w:t>
              </w:r>
            </w:hyperlink>
            <w:r w:rsidR="00AB7B20" w:rsidRPr="004B0DA6">
              <w:rPr>
                <w:rFonts w:ascii="Times New Roman" w:hAnsi="Times New Roman" w:cs="Times New Roman"/>
                <w:sz w:val="24"/>
                <w:szCs w:val="24"/>
                <w:highlight w:val="yellow"/>
              </w:rPr>
              <w:t xml:space="preserve"> </w:t>
            </w:r>
            <w:hyperlink r:id="rId76" w:history="1">
              <w:r w:rsidR="00BA4ADB" w:rsidRPr="004B0DA6">
                <w:rPr>
                  <w:rStyle w:val="Hyperlink"/>
                  <w:rFonts w:ascii="Times New Roman" w:hAnsi="Times New Roman" w:cs="Times New Roman"/>
                  <w:sz w:val="24"/>
                  <w:szCs w:val="24"/>
                  <w:highlight w:val="yellow"/>
                </w:rPr>
                <w:t>and Other Modifications to GS 159-29</w:t>
              </w:r>
            </w:hyperlink>
            <w:r w:rsidR="00AB7B20" w:rsidRPr="004B0DA6">
              <w:rPr>
                <w:rFonts w:ascii="Times New Roman" w:hAnsi="Times New Roman" w:cs="Times New Roman"/>
                <w:color w:val="2F5496"/>
                <w:sz w:val="24"/>
                <w:szCs w:val="24"/>
                <w:highlight w:val="yellow"/>
              </w:rPr>
              <w:t xml:space="preserve"> </w:t>
            </w:r>
            <w:r w:rsidR="00AB7B20" w:rsidRPr="004B0DA6">
              <w:rPr>
                <w:rFonts w:ascii="Times New Roman" w:hAnsi="Times New Roman" w:cs="Times New Roman"/>
                <w:sz w:val="24"/>
                <w:szCs w:val="24"/>
                <w:highlight w:val="yellow"/>
              </w:rPr>
              <w:t>and</w:t>
            </w:r>
            <w:r w:rsidR="00AB7B20" w:rsidRPr="004B0DA6">
              <w:rPr>
                <w:rFonts w:ascii="Times New Roman" w:hAnsi="Times New Roman" w:cs="Times New Roman"/>
                <w:color w:val="2F5496"/>
                <w:sz w:val="24"/>
                <w:szCs w:val="24"/>
                <w:highlight w:val="yellow"/>
              </w:rPr>
              <w:t xml:space="preserve"> </w:t>
            </w:r>
            <w:hyperlink r:id="rId77" w:history="1">
              <w:r w:rsidR="002D1819" w:rsidRPr="004B0DA6">
                <w:rPr>
                  <w:rStyle w:val="Hyperlink"/>
                  <w:rFonts w:ascii="Times New Roman" w:hAnsi="Times New Roman" w:cs="Times New Roman"/>
                  <w:sz w:val="24"/>
                  <w:szCs w:val="24"/>
                  <w:highlight w:val="yellow"/>
                </w:rPr>
                <w:t>Memo 2014-08</w:t>
              </w:r>
            </w:hyperlink>
            <w:r w:rsidR="002D1819" w:rsidRPr="004B0DA6">
              <w:rPr>
                <w:rFonts w:ascii="Times New Roman" w:hAnsi="Times New Roman" w:cs="Times New Roman"/>
                <w:color w:val="2F5496"/>
                <w:sz w:val="24"/>
                <w:szCs w:val="24"/>
                <w:highlight w:val="yellow"/>
              </w:rPr>
              <w:t>-</w:t>
            </w:r>
            <w:hyperlink r:id="rId78" w:history="1">
              <w:r w:rsidR="00AB7B20" w:rsidRPr="004B0DA6">
                <w:rPr>
                  <w:rStyle w:val="Hyperlink"/>
                  <w:rFonts w:ascii="Times New Roman" w:hAnsi="Times New Roman" w:cs="Times New Roman"/>
                  <w:color w:val="2E74B5" w:themeColor="accent5" w:themeShade="BF"/>
                  <w:sz w:val="24"/>
                  <w:szCs w:val="24"/>
                  <w:highlight w:val="yellow"/>
                </w:rPr>
                <w:t xml:space="preserve">  Operation and Accounting for Discretely Presented Component Units, Including Tourism Development Authorities</w:t>
              </w:r>
            </w:hyperlink>
            <w:r w:rsidR="00AB7B20" w:rsidRPr="004B0DA6">
              <w:rPr>
                <w:rFonts w:ascii="Times New Roman" w:hAnsi="Times New Roman" w:cs="Times New Roman"/>
                <w:color w:val="000000"/>
                <w:sz w:val="24"/>
                <w:szCs w:val="24"/>
                <w:highlight w:val="yellow"/>
              </w:rPr>
              <w:t xml:space="preserve"> for further guidance</w:t>
            </w:r>
            <w:r w:rsidR="00AB7B20" w:rsidRPr="004B0DA6">
              <w:rPr>
                <w:rFonts w:ascii="Times New Roman" w:hAnsi="Times New Roman" w:cs="Times New Roman"/>
                <w:sz w:val="24"/>
                <w:szCs w:val="24"/>
                <w:highlight w:val="yellow"/>
              </w:rPr>
              <w:t xml:space="preserve">. A performance bond for a lower amount than required must be disclosed under </w:t>
            </w:r>
            <w:r w:rsidR="00AB7B20" w:rsidRPr="004B0DA6">
              <w:rPr>
                <w:rFonts w:ascii="Times New Roman" w:hAnsi="Times New Roman" w:cs="Times New Roman"/>
                <w:sz w:val="24"/>
                <w:szCs w:val="24"/>
                <w:highlight w:val="yellow"/>
                <w:u w:val="single"/>
              </w:rPr>
              <w:t>Stewardship, Compliance, and Accountability</w:t>
            </w:r>
            <w:r w:rsidR="00AB7B20" w:rsidRPr="004B0DA6">
              <w:rPr>
                <w:rFonts w:ascii="Times New Roman" w:hAnsi="Times New Roman" w:cs="Times New Roman"/>
                <w:sz w:val="24"/>
                <w:szCs w:val="24"/>
                <w:highlight w:val="yellow"/>
              </w:rPr>
              <w:t xml:space="preserve"> as Significant Violations of Finance-Related Legal and Contractual Provisions; as a finding in any Compliance Reports issued; and as a Financial Performance Indicator of Concern.</w:t>
            </w:r>
          </w:p>
          <w:p w14:paraId="0708A668" w14:textId="333BB58A" w:rsidR="0056179C" w:rsidRPr="004B0DA6" w:rsidRDefault="0056179C" w:rsidP="00203597">
            <w:pPr>
              <w:spacing w:after="0"/>
              <w:jc w:val="both"/>
              <w:rPr>
                <w:rFonts w:ascii="Times New Roman" w:hAnsi="Times New Roman" w:cs="Times New Roman"/>
                <w:sz w:val="24"/>
                <w:szCs w:val="24"/>
              </w:rPr>
            </w:pPr>
          </w:p>
        </w:tc>
      </w:tr>
    </w:tbl>
    <w:p w14:paraId="67A8A660" w14:textId="77777777" w:rsidR="0056179C" w:rsidRPr="004B0DA6" w:rsidRDefault="0056179C" w:rsidP="00203597">
      <w:pPr>
        <w:spacing w:after="0"/>
        <w:jc w:val="both"/>
        <w:rPr>
          <w:rFonts w:ascii="Times New Roman" w:hAnsi="Times New Roman" w:cs="Times New Roman"/>
          <w:sz w:val="24"/>
        </w:rPr>
      </w:pPr>
    </w:p>
    <w:p w14:paraId="4C038C36" w14:textId="48BD919A" w:rsidR="0056179C" w:rsidRPr="004B0DA6" w:rsidRDefault="00D73662" w:rsidP="00203597">
      <w:pPr>
        <w:tabs>
          <w:tab w:val="left" w:pos="1260"/>
        </w:tabs>
        <w:spacing w:after="0"/>
        <w:rPr>
          <w:rFonts w:ascii="Times New Roman" w:hAnsi="Times New Roman" w:cs="Times New Roman"/>
          <w:sz w:val="24"/>
          <w:szCs w:val="24"/>
        </w:rPr>
      </w:pPr>
      <w:r w:rsidRPr="004B0DA6">
        <w:rPr>
          <w:rFonts w:ascii="Times New Roman" w:hAnsi="Times New Roman" w:cs="Times New Roman"/>
          <w:sz w:val="24"/>
          <w:szCs w:val="24"/>
        </w:rPr>
        <w:t>4</w:t>
      </w:r>
      <w:r w:rsidR="0056179C" w:rsidRPr="004B0DA6">
        <w:rPr>
          <w:rFonts w:ascii="Times New Roman" w:hAnsi="Times New Roman" w:cs="Times New Roman"/>
          <w:sz w:val="24"/>
          <w:szCs w:val="24"/>
        </w:rPr>
        <w:t xml:space="preserve">. </w:t>
      </w:r>
      <w:r w:rsidR="0056179C" w:rsidRPr="004B0DA6">
        <w:rPr>
          <w:rFonts w:ascii="Times New Roman" w:hAnsi="Times New Roman" w:cs="Times New Roman"/>
          <w:sz w:val="24"/>
          <w:szCs w:val="24"/>
          <w:u w:val="single"/>
        </w:rPr>
        <w:t>Claims, Judgments and Contingent Liabilities</w:t>
      </w:r>
    </w:p>
    <w:p w14:paraId="3F26DD91" w14:textId="77777777" w:rsidR="0056179C" w:rsidRPr="004B0DA6" w:rsidRDefault="0056179C" w:rsidP="00203597">
      <w:pPr>
        <w:spacing w:after="0"/>
        <w:rPr>
          <w:rFonts w:ascii="Times New Roman" w:hAnsi="Times New Roman" w:cs="Times New Roman"/>
          <w:sz w:val="24"/>
          <w:szCs w:val="24"/>
        </w:rPr>
      </w:pPr>
    </w:p>
    <w:p w14:paraId="510ED75F" w14:textId="14B037BE" w:rsidR="0056179C" w:rsidRPr="004B0DA6" w:rsidRDefault="0056179C" w:rsidP="00203597">
      <w:pPr>
        <w:pStyle w:val="BodyText2"/>
        <w:rPr>
          <w:rFonts w:ascii="Times New Roman" w:hAnsi="Times New Roman" w:cs="Times New Roman"/>
          <w:sz w:val="24"/>
        </w:rPr>
      </w:pPr>
      <w:r w:rsidRPr="004B0DA6">
        <w:rPr>
          <w:rFonts w:ascii="Times New Roman" w:hAnsi="Times New Roman" w:cs="Times New Roman"/>
          <w:sz w:val="24"/>
        </w:rPr>
        <w:t xml:space="preserve">At June 30, </w:t>
      </w:r>
      <w:r w:rsidR="00A85B23" w:rsidRPr="004B0DA6">
        <w:rPr>
          <w:rFonts w:ascii="Times New Roman" w:hAnsi="Times New Roman" w:cs="Times New Roman"/>
          <w:sz w:val="24"/>
        </w:rPr>
        <w:t>202</w:t>
      </w:r>
      <w:r w:rsidR="008A1662" w:rsidRPr="004B0DA6">
        <w:rPr>
          <w:rFonts w:ascii="Times New Roman" w:hAnsi="Times New Roman" w:cs="Times New Roman"/>
          <w:sz w:val="24"/>
        </w:rPr>
        <w:t>4</w:t>
      </w:r>
      <w:r w:rsidRPr="004B0DA6">
        <w:rPr>
          <w:rFonts w:ascii="Times New Roman" w:hAnsi="Times New Roman" w:cs="Times New Roman"/>
          <w:sz w:val="24"/>
        </w:rPr>
        <w:t>, the City was a defendant to various lawsuits.  In the opinion of the City's management and the City attorney, the ultimate effect of these legal matters will not have a material adverse effect on the City's financial position.</w:t>
      </w:r>
    </w:p>
    <w:p w14:paraId="41692D3B" w14:textId="64AD2143" w:rsidR="0056179C" w:rsidRPr="004B0DA6" w:rsidRDefault="0056179C" w:rsidP="00203597">
      <w:pPr>
        <w:spacing w:after="0"/>
        <w:jc w:val="both"/>
        <w:rPr>
          <w:rFonts w:ascii="Times New Roman" w:hAnsi="Times New Roman" w:cs="Times New Roman"/>
          <w:sz w:val="24"/>
        </w:rPr>
      </w:pPr>
    </w:p>
    <w:p w14:paraId="109C024B" w14:textId="0C4702D3" w:rsidR="00606971" w:rsidRPr="004B0DA6" w:rsidRDefault="00D73662" w:rsidP="00203597">
      <w:pPr>
        <w:keepNext/>
        <w:spacing w:after="0"/>
        <w:jc w:val="both"/>
        <w:rPr>
          <w:rFonts w:ascii="Times New Roman" w:hAnsi="Times New Roman" w:cs="Times New Roman"/>
          <w:sz w:val="24"/>
          <w:u w:val="single"/>
        </w:rPr>
      </w:pPr>
      <w:r w:rsidRPr="004B0DA6">
        <w:rPr>
          <w:rFonts w:ascii="Times New Roman" w:hAnsi="Times New Roman" w:cs="Times New Roman"/>
          <w:sz w:val="24"/>
        </w:rPr>
        <w:t>5</w:t>
      </w:r>
      <w:r w:rsidR="00606971" w:rsidRPr="004B0DA6">
        <w:rPr>
          <w:rFonts w:ascii="Times New Roman" w:hAnsi="Times New Roman" w:cs="Times New Roman"/>
          <w:sz w:val="24"/>
        </w:rPr>
        <w:t xml:space="preserve">. </w:t>
      </w:r>
      <w:r w:rsidR="00606971" w:rsidRPr="004B0DA6">
        <w:rPr>
          <w:rFonts w:ascii="Times New Roman" w:hAnsi="Times New Roman" w:cs="Times New Roman"/>
          <w:sz w:val="24"/>
          <w:u w:val="single"/>
        </w:rPr>
        <w:t>Short -Term Debt</w:t>
      </w:r>
    </w:p>
    <w:p w14:paraId="2C57DC9C" w14:textId="14B821F8" w:rsidR="00606971" w:rsidRPr="004B0DA6" w:rsidRDefault="00606971" w:rsidP="00203597">
      <w:pPr>
        <w:keepNext/>
        <w:spacing w:after="0"/>
        <w:jc w:val="both"/>
        <w:rPr>
          <w:rFonts w:ascii="Times New Roman" w:hAnsi="Times New Roman" w:cs="Times New Roman"/>
          <w:sz w:val="24"/>
        </w:rPr>
      </w:pPr>
      <w:r w:rsidRPr="004B0DA6">
        <w:rPr>
          <w:rFonts w:ascii="Times New Roman" w:hAnsi="Times New Roman" w:cs="Times New Roman"/>
          <w:sz w:val="24"/>
        </w:rPr>
        <w:t xml:space="preserve">The City did not have any short-term debt outstanding at the beginning of the year. </w:t>
      </w:r>
      <w:r w:rsidR="00504182" w:rsidRPr="004B0DA6">
        <w:rPr>
          <w:rFonts w:ascii="Times New Roman" w:hAnsi="Times New Roman" w:cs="Times New Roman"/>
          <w:sz w:val="24"/>
        </w:rPr>
        <w:t>T</w:t>
      </w:r>
      <w:r w:rsidRPr="004B0DA6">
        <w:rPr>
          <w:rFonts w:ascii="Times New Roman" w:hAnsi="Times New Roman" w:cs="Times New Roman"/>
          <w:sz w:val="24"/>
        </w:rPr>
        <w:t>he following short-term debt</w:t>
      </w:r>
      <w:r w:rsidR="00504182" w:rsidRPr="004B0DA6">
        <w:rPr>
          <w:rFonts w:ascii="Times New Roman" w:hAnsi="Times New Roman" w:cs="Times New Roman"/>
          <w:sz w:val="24"/>
        </w:rPr>
        <w:t xml:space="preserve"> was issued during the year and</w:t>
      </w:r>
      <w:r w:rsidRPr="004B0DA6">
        <w:rPr>
          <w:rFonts w:ascii="Times New Roman" w:hAnsi="Times New Roman" w:cs="Times New Roman"/>
          <w:sz w:val="24"/>
        </w:rPr>
        <w:t xml:space="preserve"> remains outstanding at the end of the year.</w:t>
      </w:r>
    </w:p>
    <w:p w14:paraId="2331563B" w14:textId="77777777" w:rsidR="00F8523D" w:rsidRPr="004B0DA6" w:rsidRDefault="00F8523D" w:rsidP="00203597">
      <w:pPr>
        <w:spacing w:after="0"/>
        <w:rPr>
          <w:rFonts w:ascii="Times New Roman" w:hAnsi="Times New Roman" w:cs="Times New Roman"/>
          <w:sz w:val="24"/>
          <w:u w:val="single"/>
        </w:rPr>
      </w:pPr>
    </w:p>
    <w:p w14:paraId="271F5C28" w14:textId="550B07A6" w:rsidR="00606971" w:rsidRPr="004B0DA6" w:rsidRDefault="00606971" w:rsidP="00203597">
      <w:pPr>
        <w:spacing w:after="0"/>
        <w:rPr>
          <w:rFonts w:ascii="Times New Roman" w:hAnsi="Times New Roman" w:cs="Times New Roman"/>
          <w:sz w:val="24"/>
          <w:u w:val="single"/>
        </w:rPr>
      </w:pPr>
      <w:r w:rsidRPr="004B0DA6">
        <w:rPr>
          <w:rFonts w:ascii="Times New Roman" w:hAnsi="Times New Roman" w:cs="Times New Roman"/>
          <w:sz w:val="24"/>
          <w:u w:val="single"/>
        </w:rPr>
        <w:t>Bond Anticipation Notes</w:t>
      </w:r>
    </w:p>
    <w:tbl>
      <w:tblPr>
        <w:tblW w:w="0" w:type="auto"/>
        <w:tblLook w:val="0000" w:firstRow="0" w:lastRow="0" w:firstColumn="0" w:lastColumn="0" w:noHBand="0" w:noVBand="0"/>
      </w:tblPr>
      <w:tblGrid>
        <w:gridCol w:w="6593"/>
        <w:gridCol w:w="2263"/>
      </w:tblGrid>
      <w:tr w:rsidR="00606971" w:rsidRPr="004B0DA6" w14:paraId="7475F4A5" w14:textId="77777777" w:rsidTr="00504182">
        <w:trPr>
          <w:cantSplit/>
        </w:trPr>
        <w:tc>
          <w:tcPr>
            <w:tcW w:w="6593" w:type="dxa"/>
          </w:tcPr>
          <w:p w14:paraId="791F444B" w14:textId="75A18A86" w:rsidR="00606971" w:rsidRPr="004B0DA6" w:rsidRDefault="00606971"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Water and Sewer Notes issued on June 29, 202</w:t>
            </w:r>
            <w:r w:rsidR="008A1662" w:rsidRPr="004B0DA6">
              <w:rPr>
                <w:rFonts w:ascii="Times New Roman" w:eastAsia="Times New Roman" w:hAnsi="Times New Roman" w:cs="Times New Roman"/>
                <w:sz w:val="24"/>
                <w:szCs w:val="24"/>
              </w:rPr>
              <w:t>4</w:t>
            </w:r>
            <w:r w:rsidRPr="004B0DA6">
              <w:rPr>
                <w:rFonts w:ascii="Times New Roman" w:eastAsia="Times New Roman" w:hAnsi="Times New Roman" w:cs="Times New Roman"/>
                <w:sz w:val="24"/>
                <w:szCs w:val="24"/>
              </w:rPr>
              <w:t>, and due on November 30, 202</w:t>
            </w:r>
            <w:r w:rsidR="008A1662" w:rsidRPr="004B0DA6">
              <w:rPr>
                <w:rFonts w:ascii="Times New Roman" w:eastAsia="Times New Roman" w:hAnsi="Times New Roman" w:cs="Times New Roman"/>
                <w:sz w:val="24"/>
                <w:szCs w:val="24"/>
              </w:rPr>
              <w:t>4</w:t>
            </w:r>
            <w:r w:rsidRPr="004B0DA6">
              <w:rPr>
                <w:rFonts w:ascii="Times New Roman" w:eastAsia="Times New Roman" w:hAnsi="Times New Roman" w:cs="Times New Roman"/>
                <w:sz w:val="24"/>
                <w:szCs w:val="24"/>
              </w:rPr>
              <w:t>, interest at 3.0%. The notes will be repaid from a $750,000 bond issue expected to be sold in the next fiscal year.</w:t>
            </w:r>
          </w:p>
        </w:tc>
        <w:tc>
          <w:tcPr>
            <w:tcW w:w="2263" w:type="dxa"/>
            <w:vAlign w:val="bottom"/>
          </w:tcPr>
          <w:p w14:paraId="3F8BE250" w14:textId="77777777" w:rsidR="00606971" w:rsidRPr="004B0DA6" w:rsidRDefault="00606971" w:rsidP="00203597">
            <w:pPr>
              <w:spacing w:after="0" w:line="240" w:lineRule="auto"/>
              <w:jc w:val="right"/>
              <w:rPr>
                <w:rFonts w:ascii="Times New Roman" w:eastAsia="Times New Roman" w:hAnsi="Times New Roman" w:cs="Times New Roman"/>
                <w:sz w:val="24"/>
                <w:szCs w:val="24"/>
                <w:u w:val="double"/>
              </w:rPr>
            </w:pPr>
            <w:r w:rsidRPr="004B0DA6">
              <w:rPr>
                <w:rFonts w:ascii="Times New Roman" w:eastAsia="Times New Roman" w:hAnsi="Times New Roman" w:cs="Times New Roman"/>
                <w:sz w:val="24"/>
                <w:szCs w:val="24"/>
                <w:u w:val="double"/>
              </w:rPr>
              <w:t>$675,000</w:t>
            </w:r>
          </w:p>
        </w:tc>
      </w:tr>
    </w:tbl>
    <w:p w14:paraId="73845B89" w14:textId="36C5D0A1" w:rsidR="00606971" w:rsidRPr="004B0DA6" w:rsidRDefault="00606971" w:rsidP="00203597">
      <w:pPr>
        <w:spacing w:after="0"/>
        <w:jc w:val="both"/>
        <w:rPr>
          <w:rFonts w:ascii="Times New Roman" w:hAnsi="Times New Roman" w:cs="Times New Roman"/>
          <w:sz w:val="24"/>
        </w:rPr>
      </w:pPr>
    </w:p>
    <w:p w14:paraId="5DE176FF" w14:textId="77777777" w:rsidR="00F8523D" w:rsidRPr="004B0DA6" w:rsidRDefault="00F8523D" w:rsidP="00203597">
      <w:pPr>
        <w:spacing w:after="0"/>
        <w:jc w:val="both"/>
        <w:rPr>
          <w:rFonts w:ascii="Times New Roman" w:hAnsi="Times New Roman" w:cs="Times New Roman"/>
          <w:sz w:val="24"/>
        </w:rPr>
      </w:pPr>
    </w:p>
    <w:p w14:paraId="3DE0FE8D" w14:textId="1D1EF953" w:rsidR="0056179C" w:rsidRPr="004B0DA6" w:rsidRDefault="00D73662" w:rsidP="00203597">
      <w:pPr>
        <w:keepNext/>
        <w:spacing w:after="0"/>
        <w:jc w:val="both"/>
        <w:rPr>
          <w:rFonts w:ascii="Times New Roman" w:hAnsi="Times New Roman" w:cs="Times New Roman"/>
          <w:sz w:val="24"/>
        </w:rPr>
      </w:pPr>
      <w:bookmarkStart w:id="52" w:name="_Hlk86331843"/>
      <w:r w:rsidRPr="004B0DA6">
        <w:rPr>
          <w:rFonts w:ascii="Times New Roman" w:hAnsi="Times New Roman" w:cs="Times New Roman"/>
          <w:sz w:val="24"/>
        </w:rPr>
        <w:t>6</w:t>
      </w:r>
      <w:r w:rsidR="0056179C" w:rsidRPr="004B0DA6">
        <w:rPr>
          <w:rFonts w:ascii="Times New Roman" w:hAnsi="Times New Roman" w:cs="Times New Roman"/>
          <w:sz w:val="24"/>
        </w:rPr>
        <w:t xml:space="preserve">. </w:t>
      </w:r>
      <w:r w:rsidR="0056179C" w:rsidRPr="004B0DA6">
        <w:rPr>
          <w:rFonts w:ascii="Times New Roman" w:hAnsi="Times New Roman" w:cs="Times New Roman"/>
          <w:sz w:val="24"/>
          <w:u w:val="single"/>
        </w:rPr>
        <w:t>Long-Term Obligations</w:t>
      </w:r>
    </w:p>
    <w:p w14:paraId="2A84FC14" w14:textId="77777777" w:rsidR="00F8523D" w:rsidRPr="004B0DA6" w:rsidRDefault="00F8523D" w:rsidP="00203597">
      <w:pPr>
        <w:keepNext/>
        <w:spacing w:after="0"/>
        <w:rPr>
          <w:rFonts w:ascii="Times New Roman" w:hAnsi="Times New Roman" w:cs="Times New Roman"/>
          <w:sz w:val="24"/>
        </w:rPr>
      </w:pPr>
      <w:bookmarkStart w:id="53" w:name="_Hlk91756844"/>
    </w:p>
    <w:p w14:paraId="35C8499F" w14:textId="7FF9BAEC" w:rsidR="0056179C" w:rsidRPr="004B0DA6" w:rsidRDefault="0056179C" w:rsidP="00203597">
      <w:pPr>
        <w:keepNext/>
        <w:spacing w:after="0"/>
        <w:rPr>
          <w:rFonts w:ascii="Times New Roman" w:hAnsi="Times New Roman" w:cs="Times New Roman"/>
          <w:sz w:val="24"/>
        </w:rPr>
      </w:pPr>
      <w:r w:rsidRPr="004B0DA6">
        <w:rPr>
          <w:rFonts w:ascii="Times New Roman" w:hAnsi="Times New Roman" w:cs="Times New Roman"/>
          <w:sz w:val="24"/>
        </w:rPr>
        <w:t>a. Leases</w:t>
      </w:r>
    </w:p>
    <w:p w14:paraId="44BF7509" w14:textId="77777777" w:rsidR="00F8523D" w:rsidRPr="004B0DA6" w:rsidRDefault="00F8523D" w:rsidP="00203597">
      <w:pPr>
        <w:keepNext/>
        <w:spacing w:after="0"/>
        <w:jc w:val="both"/>
        <w:rPr>
          <w:rFonts w:ascii="Times New Roman" w:hAnsi="Times New Roman" w:cs="Times New Roman"/>
          <w:sz w:val="24"/>
        </w:rPr>
      </w:pPr>
      <w:bookmarkStart w:id="54" w:name="_Hlk86320058"/>
    </w:p>
    <w:p w14:paraId="781D11AF" w14:textId="2D9EEB8E" w:rsidR="0056179C" w:rsidRPr="004B0DA6" w:rsidRDefault="0056179C" w:rsidP="00203597">
      <w:pPr>
        <w:keepNext/>
        <w:spacing w:after="0"/>
        <w:jc w:val="both"/>
        <w:rPr>
          <w:rFonts w:ascii="Times New Roman" w:hAnsi="Times New Roman" w:cs="Times New Roman"/>
          <w:sz w:val="24"/>
        </w:rPr>
      </w:pPr>
      <w:r w:rsidRPr="004B0DA6">
        <w:rPr>
          <w:rFonts w:ascii="Times New Roman" w:hAnsi="Times New Roman" w:cs="Times New Roman"/>
          <w:sz w:val="24"/>
        </w:rPr>
        <w:t xml:space="preserve">The City has entered into agreements to lease </w:t>
      </w:r>
      <w:r w:rsidR="001A4C12" w:rsidRPr="004B0DA6">
        <w:rPr>
          <w:rFonts w:ascii="Times New Roman" w:hAnsi="Times New Roman" w:cs="Times New Roman"/>
          <w:sz w:val="24"/>
        </w:rPr>
        <w:t xml:space="preserve">storage space and </w:t>
      </w:r>
      <w:r w:rsidRPr="004B0DA6">
        <w:rPr>
          <w:rFonts w:ascii="Times New Roman" w:hAnsi="Times New Roman" w:cs="Times New Roman"/>
          <w:sz w:val="24"/>
        </w:rPr>
        <w:t xml:space="preserve">certain equipment. The lease agreements qualify as </w:t>
      </w:r>
      <w:r w:rsidR="001A73A2" w:rsidRPr="004B0DA6">
        <w:rPr>
          <w:rFonts w:ascii="Times New Roman" w:hAnsi="Times New Roman" w:cs="Times New Roman"/>
          <w:sz w:val="24"/>
        </w:rPr>
        <w:t xml:space="preserve">other than short-term </w:t>
      </w:r>
      <w:r w:rsidRPr="004B0DA6">
        <w:rPr>
          <w:rFonts w:ascii="Times New Roman" w:hAnsi="Times New Roman" w:cs="Times New Roman"/>
          <w:sz w:val="24"/>
        </w:rPr>
        <w:t>leases</w:t>
      </w:r>
      <w:r w:rsidR="009B11A2" w:rsidRPr="004B0DA6">
        <w:rPr>
          <w:rFonts w:ascii="Times New Roman" w:hAnsi="Times New Roman" w:cs="Times New Roman"/>
          <w:sz w:val="24"/>
        </w:rPr>
        <w:t xml:space="preserve"> under GASB 87</w:t>
      </w:r>
      <w:r w:rsidRPr="004B0DA6">
        <w:rPr>
          <w:rFonts w:ascii="Times New Roman" w:hAnsi="Times New Roman" w:cs="Times New Roman"/>
          <w:sz w:val="24"/>
        </w:rPr>
        <w:t xml:space="preserve"> and, therefore, have been recorded at the present value of the future minimum lease payments as of the date of their inception.  </w:t>
      </w:r>
    </w:p>
    <w:p w14:paraId="2FB0F887" w14:textId="408A02C9" w:rsidR="005B1639" w:rsidRPr="004B0DA6" w:rsidRDefault="0097330F" w:rsidP="00203597">
      <w:pPr>
        <w:spacing w:after="0"/>
        <w:jc w:val="both"/>
        <w:rPr>
          <w:rFonts w:ascii="Times New Roman" w:hAnsi="Times New Roman" w:cs="Times New Roman"/>
          <w:sz w:val="24"/>
        </w:rPr>
      </w:pPr>
      <w:r w:rsidRPr="004B0DA6">
        <w:rPr>
          <w:rFonts w:ascii="Times New Roman" w:hAnsi="Times New Roman" w:cs="Times New Roman"/>
          <w:sz w:val="24"/>
        </w:rPr>
        <w:t xml:space="preserve">The City </w:t>
      </w:r>
      <w:proofErr w:type="gramStart"/>
      <w:r w:rsidRPr="004B0DA6">
        <w:rPr>
          <w:rFonts w:ascii="Times New Roman" w:hAnsi="Times New Roman" w:cs="Times New Roman"/>
          <w:sz w:val="24"/>
        </w:rPr>
        <w:t>entered into</w:t>
      </w:r>
      <w:proofErr w:type="gramEnd"/>
      <w:r w:rsidRPr="004B0DA6">
        <w:rPr>
          <w:rFonts w:ascii="Times New Roman" w:hAnsi="Times New Roman" w:cs="Times New Roman"/>
          <w:sz w:val="24"/>
        </w:rPr>
        <w:t xml:space="preserve"> a lease for storage space for the Police Department Property and Evidence unit. The initial term of the lease was 120 months with a term of 60 months remaining at June 30, 202</w:t>
      </w:r>
      <w:r w:rsidR="008A1662" w:rsidRPr="004B0DA6">
        <w:rPr>
          <w:rFonts w:ascii="Times New Roman" w:hAnsi="Times New Roman" w:cs="Times New Roman"/>
          <w:sz w:val="24"/>
        </w:rPr>
        <w:t>4</w:t>
      </w:r>
      <w:r w:rsidRPr="004B0DA6">
        <w:rPr>
          <w:rFonts w:ascii="Times New Roman" w:hAnsi="Times New Roman" w:cs="Times New Roman"/>
          <w:sz w:val="24"/>
        </w:rPr>
        <w:t xml:space="preserve">. The City </w:t>
      </w:r>
      <w:r w:rsidR="00DF6314" w:rsidRPr="004B0DA6">
        <w:rPr>
          <w:rFonts w:ascii="Times New Roman" w:hAnsi="Times New Roman" w:cs="Times New Roman"/>
          <w:sz w:val="24"/>
        </w:rPr>
        <w:t>wa</w:t>
      </w:r>
      <w:r w:rsidRPr="004B0DA6">
        <w:rPr>
          <w:rFonts w:ascii="Times New Roman" w:hAnsi="Times New Roman" w:cs="Times New Roman"/>
          <w:sz w:val="24"/>
        </w:rPr>
        <w:t>s required to make monthly fixed payments of $</w:t>
      </w:r>
      <w:r w:rsidR="00DF6314" w:rsidRPr="004B0DA6">
        <w:rPr>
          <w:rFonts w:ascii="Times New Roman" w:hAnsi="Times New Roman" w:cs="Times New Roman"/>
          <w:sz w:val="24"/>
        </w:rPr>
        <w:t>5</w:t>
      </w:r>
      <w:r w:rsidRPr="004B0DA6">
        <w:rPr>
          <w:rFonts w:ascii="Times New Roman" w:hAnsi="Times New Roman" w:cs="Times New Roman"/>
          <w:sz w:val="24"/>
        </w:rPr>
        <w:t>4</w:t>
      </w:r>
      <w:r w:rsidR="00DF6314" w:rsidRPr="004B0DA6">
        <w:rPr>
          <w:rFonts w:ascii="Times New Roman" w:hAnsi="Times New Roman" w:cs="Times New Roman"/>
          <w:sz w:val="24"/>
        </w:rPr>
        <w:t>1 in FY2</w:t>
      </w:r>
      <w:r w:rsidR="008A1662" w:rsidRPr="004B0DA6">
        <w:rPr>
          <w:rFonts w:ascii="Times New Roman" w:hAnsi="Times New Roman" w:cs="Times New Roman"/>
          <w:sz w:val="24"/>
        </w:rPr>
        <w:t>4</w:t>
      </w:r>
      <w:r w:rsidRPr="004B0DA6">
        <w:rPr>
          <w:rFonts w:ascii="Times New Roman" w:hAnsi="Times New Roman" w:cs="Times New Roman"/>
          <w:sz w:val="24"/>
        </w:rPr>
        <w:t>.</w:t>
      </w:r>
      <w:r w:rsidR="00DF6314" w:rsidRPr="004B0DA6">
        <w:rPr>
          <w:rFonts w:ascii="Times New Roman" w:hAnsi="Times New Roman" w:cs="Times New Roman"/>
          <w:sz w:val="24"/>
        </w:rPr>
        <w:t xml:space="preserve"> The monthly required payments increase</w:t>
      </w:r>
      <w:r w:rsidR="0000185F" w:rsidRPr="004B0DA6">
        <w:rPr>
          <w:rFonts w:ascii="Times New Roman" w:hAnsi="Times New Roman" w:cs="Times New Roman"/>
          <w:sz w:val="24"/>
        </w:rPr>
        <w:t xml:space="preserve"> by 2%</w:t>
      </w:r>
      <w:r w:rsidR="00DF6314" w:rsidRPr="004B0DA6">
        <w:rPr>
          <w:rFonts w:ascii="Times New Roman" w:hAnsi="Times New Roman" w:cs="Times New Roman"/>
          <w:sz w:val="24"/>
        </w:rPr>
        <w:t xml:space="preserve"> each subsequent year.</w:t>
      </w:r>
      <w:r w:rsidRPr="004B0DA6">
        <w:rPr>
          <w:rFonts w:ascii="Times New Roman" w:hAnsi="Times New Roman" w:cs="Times New Roman"/>
          <w:sz w:val="24"/>
        </w:rPr>
        <w:t xml:space="preserve"> The lease does not contain a stated interest rate. Accordingly, the City’s estimated incremental borrowing rate of 1.5% </w:t>
      </w:r>
      <w:r w:rsidR="00FE3542" w:rsidRPr="004B0DA6">
        <w:rPr>
          <w:rFonts w:ascii="Times New Roman" w:hAnsi="Times New Roman" w:cs="Times New Roman"/>
          <w:sz w:val="24"/>
        </w:rPr>
        <w:t>wa</w:t>
      </w:r>
      <w:r w:rsidRPr="004B0DA6">
        <w:rPr>
          <w:rFonts w:ascii="Times New Roman" w:hAnsi="Times New Roman" w:cs="Times New Roman"/>
          <w:sz w:val="24"/>
        </w:rPr>
        <w:t xml:space="preserve">s </w:t>
      </w:r>
      <w:r w:rsidR="00FE3542" w:rsidRPr="004B0DA6">
        <w:rPr>
          <w:rFonts w:ascii="Times New Roman" w:hAnsi="Times New Roman" w:cs="Times New Roman"/>
          <w:sz w:val="24"/>
        </w:rPr>
        <w:t>used to discount the remaining minimum lease payments</w:t>
      </w:r>
      <w:r w:rsidRPr="004B0DA6">
        <w:rPr>
          <w:rFonts w:ascii="Times New Roman" w:hAnsi="Times New Roman" w:cs="Times New Roman"/>
          <w:sz w:val="24"/>
        </w:rPr>
        <w:t>.</w:t>
      </w:r>
      <w:r w:rsidR="00FE3542" w:rsidRPr="004B0DA6">
        <w:rPr>
          <w:rFonts w:ascii="Times New Roman" w:hAnsi="Times New Roman" w:cs="Times New Roman"/>
          <w:sz w:val="24"/>
        </w:rPr>
        <w:t xml:space="preserve"> The liability balance as of June 30, </w:t>
      </w:r>
      <w:r w:rsidR="00BF6A8C" w:rsidRPr="004B0DA6">
        <w:rPr>
          <w:rFonts w:ascii="Times New Roman" w:hAnsi="Times New Roman" w:cs="Times New Roman"/>
          <w:sz w:val="24"/>
        </w:rPr>
        <w:t>2023,</w:t>
      </w:r>
      <w:r w:rsidR="00FE3542" w:rsidRPr="004B0DA6">
        <w:rPr>
          <w:rFonts w:ascii="Times New Roman" w:hAnsi="Times New Roman" w:cs="Times New Roman"/>
          <w:sz w:val="24"/>
        </w:rPr>
        <w:t xml:space="preserve"> is $3</w:t>
      </w:r>
      <w:r w:rsidR="00DF6314" w:rsidRPr="004B0DA6">
        <w:rPr>
          <w:rFonts w:ascii="Times New Roman" w:hAnsi="Times New Roman" w:cs="Times New Roman"/>
          <w:sz w:val="24"/>
        </w:rPr>
        <w:t>3,235</w:t>
      </w:r>
      <w:r w:rsidR="00FE3542" w:rsidRPr="004B0DA6">
        <w:rPr>
          <w:rFonts w:ascii="Times New Roman" w:hAnsi="Times New Roman" w:cs="Times New Roman"/>
          <w:sz w:val="24"/>
        </w:rPr>
        <w:t>.</w:t>
      </w:r>
    </w:p>
    <w:p w14:paraId="59FB0278" w14:textId="77777777" w:rsidR="00F8523D" w:rsidRPr="004B0DA6" w:rsidRDefault="00F8523D" w:rsidP="00203597">
      <w:pPr>
        <w:spacing w:after="0"/>
        <w:jc w:val="both"/>
        <w:rPr>
          <w:rFonts w:ascii="Times New Roman" w:hAnsi="Times New Roman" w:cs="Times New Roman"/>
          <w:sz w:val="24"/>
        </w:rPr>
      </w:pPr>
    </w:p>
    <w:p w14:paraId="64CFC0B0" w14:textId="28E7E0BD" w:rsidR="00100F98" w:rsidRPr="004B0DA6" w:rsidRDefault="000F3B10" w:rsidP="00203597">
      <w:pPr>
        <w:spacing w:after="0"/>
        <w:jc w:val="both"/>
        <w:rPr>
          <w:rFonts w:ascii="Times New Roman" w:hAnsi="Times New Roman" w:cs="Times New Roman"/>
          <w:sz w:val="24"/>
        </w:rPr>
      </w:pPr>
      <w:r w:rsidRPr="004B0DA6">
        <w:rPr>
          <w:rFonts w:ascii="Times New Roman" w:hAnsi="Times New Roman" w:cs="Times New Roman"/>
          <w:sz w:val="24"/>
        </w:rPr>
        <w:t xml:space="preserve">The City entered into two lease agreements during the past fiscal year. </w:t>
      </w:r>
      <w:r w:rsidR="0056179C" w:rsidRPr="004B0DA6">
        <w:rPr>
          <w:rFonts w:ascii="Times New Roman" w:hAnsi="Times New Roman" w:cs="Times New Roman"/>
          <w:sz w:val="24"/>
        </w:rPr>
        <w:t>The first agreement was executed on Ju</w:t>
      </w:r>
      <w:r w:rsidR="00100F98" w:rsidRPr="004B0DA6">
        <w:rPr>
          <w:rFonts w:ascii="Times New Roman" w:hAnsi="Times New Roman" w:cs="Times New Roman"/>
          <w:sz w:val="24"/>
        </w:rPr>
        <w:t>ly</w:t>
      </w:r>
      <w:r w:rsidR="0056179C" w:rsidRPr="004B0DA6">
        <w:rPr>
          <w:rFonts w:ascii="Times New Roman" w:hAnsi="Times New Roman" w:cs="Times New Roman"/>
          <w:sz w:val="24"/>
        </w:rPr>
        <w:t xml:space="preserve"> 1, 20</w:t>
      </w:r>
      <w:r w:rsidR="00100F98" w:rsidRPr="004B0DA6">
        <w:rPr>
          <w:rFonts w:ascii="Times New Roman" w:hAnsi="Times New Roman" w:cs="Times New Roman"/>
          <w:sz w:val="24"/>
        </w:rPr>
        <w:t>2</w:t>
      </w:r>
      <w:r w:rsidR="005B1639" w:rsidRPr="004B0DA6">
        <w:rPr>
          <w:rFonts w:ascii="Times New Roman" w:hAnsi="Times New Roman" w:cs="Times New Roman"/>
          <w:sz w:val="24"/>
        </w:rPr>
        <w:t>2</w:t>
      </w:r>
      <w:r w:rsidR="0056179C" w:rsidRPr="004B0DA6">
        <w:rPr>
          <w:rFonts w:ascii="Times New Roman" w:hAnsi="Times New Roman" w:cs="Times New Roman"/>
          <w:sz w:val="24"/>
        </w:rPr>
        <w:t xml:space="preserve">, to lease maintenance </w:t>
      </w:r>
      <w:r w:rsidR="009674A6" w:rsidRPr="004B0DA6">
        <w:rPr>
          <w:rFonts w:ascii="Times New Roman" w:hAnsi="Times New Roman" w:cs="Times New Roman"/>
          <w:sz w:val="24"/>
        </w:rPr>
        <w:t>vehicles</w:t>
      </w:r>
      <w:r w:rsidR="0056179C" w:rsidRPr="004B0DA6">
        <w:rPr>
          <w:rFonts w:ascii="Times New Roman" w:hAnsi="Times New Roman" w:cs="Times New Roman"/>
          <w:sz w:val="24"/>
        </w:rPr>
        <w:t xml:space="preserve"> and requires </w:t>
      </w:r>
      <w:r w:rsidR="00731E76" w:rsidRPr="004B0DA6">
        <w:rPr>
          <w:rFonts w:ascii="Times New Roman" w:hAnsi="Times New Roman" w:cs="Times New Roman"/>
          <w:sz w:val="24"/>
        </w:rPr>
        <w:t>36</w:t>
      </w:r>
      <w:r w:rsidR="0056179C" w:rsidRPr="004B0DA6">
        <w:rPr>
          <w:rFonts w:ascii="Times New Roman" w:hAnsi="Times New Roman" w:cs="Times New Roman"/>
          <w:sz w:val="24"/>
        </w:rPr>
        <w:t xml:space="preserve"> monthly payments of $417.  </w:t>
      </w:r>
      <w:r w:rsidR="00100F98" w:rsidRPr="004B0DA6">
        <w:rPr>
          <w:rFonts w:ascii="Times New Roman" w:hAnsi="Times New Roman" w:cs="Times New Roman"/>
          <w:sz w:val="24"/>
        </w:rPr>
        <w:t xml:space="preserve">There are no variable payment components of the lease.  The lease liability is measured at a discount rate of </w:t>
      </w:r>
      <w:r w:rsidR="003B1769" w:rsidRPr="004B0DA6">
        <w:rPr>
          <w:rFonts w:ascii="Times New Roman" w:hAnsi="Times New Roman" w:cs="Times New Roman"/>
          <w:sz w:val="24"/>
        </w:rPr>
        <w:t>8</w:t>
      </w:r>
      <w:r w:rsidR="00100F98" w:rsidRPr="004B0DA6">
        <w:rPr>
          <w:rFonts w:ascii="Times New Roman" w:hAnsi="Times New Roman" w:cs="Times New Roman"/>
          <w:sz w:val="24"/>
        </w:rPr>
        <w:t>%, which is the stated rate in the lease agreement.</w:t>
      </w:r>
      <w:r w:rsidRPr="004B0DA6">
        <w:rPr>
          <w:rFonts w:ascii="Times New Roman" w:hAnsi="Times New Roman" w:cs="Times New Roman"/>
          <w:sz w:val="24"/>
        </w:rPr>
        <w:t xml:space="preserve"> The liability balance as of June 30, </w:t>
      </w:r>
      <w:r w:rsidR="004B0DA6" w:rsidRPr="004B0DA6">
        <w:rPr>
          <w:rFonts w:ascii="Times New Roman" w:hAnsi="Times New Roman" w:cs="Times New Roman"/>
          <w:sz w:val="24"/>
        </w:rPr>
        <w:t>2024,</w:t>
      </w:r>
      <w:r w:rsidRPr="004B0DA6">
        <w:rPr>
          <w:rFonts w:ascii="Times New Roman" w:hAnsi="Times New Roman" w:cs="Times New Roman"/>
          <w:sz w:val="24"/>
        </w:rPr>
        <w:t xml:space="preserve"> is </w:t>
      </w:r>
      <w:r w:rsidR="009277BE" w:rsidRPr="004B0DA6">
        <w:rPr>
          <w:rFonts w:ascii="Times New Roman" w:hAnsi="Times New Roman" w:cs="Times New Roman"/>
          <w:sz w:val="24"/>
        </w:rPr>
        <w:t>$9,220</w:t>
      </w:r>
      <w:r w:rsidRPr="004B0DA6">
        <w:rPr>
          <w:rFonts w:ascii="Times New Roman" w:hAnsi="Times New Roman" w:cs="Times New Roman"/>
          <w:sz w:val="24"/>
        </w:rPr>
        <w:t>.</w:t>
      </w:r>
      <w:r w:rsidR="00AD60FB" w:rsidRPr="004B0DA6">
        <w:rPr>
          <w:rFonts w:ascii="Times New Roman" w:hAnsi="Times New Roman" w:cs="Times New Roman"/>
          <w:sz w:val="24"/>
        </w:rPr>
        <w:t xml:space="preserve">  </w:t>
      </w:r>
    </w:p>
    <w:p w14:paraId="7E7A5B9D" w14:textId="77777777" w:rsidR="00F8523D" w:rsidRPr="004B0DA6" w:rsidRDefault="00F8523D" w:rsidP="00203597">
      <w:pPr>
        <w:spacing w:after="0"/>
        <w:jc w:val="both"/>
        <w:rPr>
          <w:rFonts w:ascii="Times New Roman" w:hAnsi="Times New Roman" w:cs="Times New Roman"/>
          <w:sz w:val="24"/>
        </w:rPr>
      </w:pPr>
    </w:p>
    <w:p w14:paraId="57E9D284" w14:textId="1AFCFE1B" w:rsidR="003B1769"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The second agreement was executed on J</w:t>
      </w:r>
      <w:r w:rsidR="003B1769" w:rsidRPr="004B0DA6">
        <w:rPr>
          <w:rFonts w:ascii="Times New Roman" w:hAnsi="Times New Roman" w:cs="Times New Roman"/>
          <w:sz w:val="24"/>
        </w:rPr>
        <w:t>anuary</w:t>
      </w:r>
      <w:r w:rsidRPr="004B0DA6">
        <w:rPr>
          <w:rFonts w:ascii="Times New Roman" w:hAnsi="Times New Roman" w:cs="Times New Roman"/>
          <w:sz w:val="24"/>
        </w:rPr>
        <w:t xml:space="preserve"> </w:t>
      </w:r>
      <w:r w:rsidR="003B1769" w:rsidRPr="004B0DA6">
        <w:rPr>
          <w:rFonts w:ascii="Times New Roman" w:hAnsi="Times New Roman" w:cs="Times New Roman"/>
          <w:sz w:val="24"/>
        </w:rPr>
        <w:t>1</w:t>
      </w:r>
      <w:r w:rsidRPr="004B0DA6">
        <w:rPr>
          <w:rFonts w:ascii="Times New Roman" w:hAnsi="Times New Roman" w:cs="Times New Roman"/>
          <w:sz w:val="24"/>
        </w:rPr>
        <w:t xml:space="preserve">, </w:t>
      </w:r>
      <w:r w:rsidR="00A85B23" w:rsidRPr="004B0DA6">
        <w:rPr>
          <w:rFonts w:ascii="Times New Roman" w:hAnsi="Times New Roman" w:cs="Times New Roman"/>
          <w:sz w:val="24"/>
        </w:rPr>
        <w:t>202</w:t>
      </w:r>
      <w:r w:rsidR="00712401" w:rsidRPr="004B0DA6">
        <w:rPr>
          <w:rFonts w:ascii="Times New Roman" w:hAnsi="Times New Roman" w:cs="Times New Roman"/>
          <w:sz w:val="24"/>
        </w:rPr>
        <w:t>4</w:t>
      </w:r>
      <w:r w:rsidRPr="004B0DA6">
        <w:rPr>
          <w:rFonts w:ascii="Times New Roman" w:hAnsi="Times New Roman" w:cs="Times New Roman"/>
          <w:sz w:val="24"/>
        </w:rPr>
        <w:t xml:space="preserve">, to lease a copy machine and requires </w:t>
      </w:r>
      <w:r w:rsidR="003B1769" w:rsidRPr="004B0DA6">
        <w:rPr>
          <w:rFonts w:ascii="Times New Roman" w:hAnsi="Times New Roman" w:cs="Times New Roman"/>
          <w:sz w:val="24"/>
        </w:rPr>
        <w:t>60</w:t>
      </w:r>
      <w:r w:rsidRPr="004B0DA6">
        <w:rPr>
          <w:rFonts w:ascii="Times New Roman" w:hAnsi="Times New Roman" w:cs="Times New Roman"/>
          <w:sz w:val="24"/>
        </w:rPr>
        <w:t xml:space="preserve"> monthly payments of $403. </w:t>
      </w:r>
      <w:r w:rsidR="003B1769" w:rsidRPr="004B0DA6">
        <w:rPr>
          <w:rFonts w:ascii="Times New Roman" w:hAnsi="Times New Roman" w:cs="Times New Roman"/>
          <w:sz w:val="24"/>
        </w:rPr>
        <w:t xml:space="preserve"> There are no variable payment components of the lease.  The lease liability is measured at a discount rate of 5%, which is the stated rate in the lease agreement.</w:t>
      </w:r>
      <w:r w:rsidR="000F3B10" w:rsidRPr="004B0DA6">
        <w:rPr>
          <w:rFonts w:ascii="Times New Roman" w:hAnsi="Times New Roman" w:cs="Times New Roman"/>
          <w:sz w:val="24"/>
        </w:rPr>
        <w:t xml:space="preserve"> The liability balance as of June 30, </w:t>
      </w:r>
      <w:r w:rsidR="004B0DA6" w:rsidRPr="004B0DA6">
        <w:rPr>
          <w:rFonts w:ascii="Times New Roman" w:hAnsi="Times New Roman" w:cs="Times New Roman"/>
          <w:sz w:val="24"/>
        </w:rPr>
        <w:t>2024,</w:t>
      </w:r>
      <w:r w:rsidR="000F3B10" w:rsidRPr="004B0DA6">
        <w:rPr>
          <w:rFonts w:ascii="Times New Roman" w:hAnsi="Times New Roman" w:cs="Times New Roman"/>
          <w:sz w:val="24"/>
        </w:rPr>
        <w:t xml:space="preserve"> is $</w:t>
      </w:r>
      <w:r w:rsidR="009277BE" w:rsidRPr="004B0DA6">
        <w:rPr>
          <w:rFonts w:ascii="Times New Roman" w:hAnsi="Times New Roman" w:cs="Times New Roman"/>
          <w:sz w:val="24"/>
        </w:rPr>
        <w:t>19</w:t>
      </w:r>
      <w:r w:rsidR="000F3B10" w:rsidRPr="004B0DA6">
        <w:rPr>
          <w:rFonts w:ascii="Times New Roman" w:hAnsi="Times New Roman" w:cs="Times New Roman"/>
          <w:sz w:val="24"/>
        </w:rPr>
        <w:t>,</w:t>
      </w:r>
      <w:r w:rsidR="009277BE" w:rsidRPr="004B0DA6">
        <w:rPr>
          <w:rFonts w:ascii="Times New Roman" w:hAnsi="Times New Roman" w:cs="Times New Roman"/>
          <w:sz w:val="24"/>
        </w:rPr>
        <w:t>451</w:t>
      </w:r>
      <w:r w:rsidR="000F3B10" w:rsidRPr="004B0DA6">
        <w:rPr>
          <w:rFonts w:ascii="Times New Roman" w:hAnsi="Times New Roman" w:cs="Times New Roman"/>
          <w:sz w:val="24"/>
        </w:rPr>
        <w:t>.</w:t>
      </w:r>
      <w:r w:rsidR="003B1769" w:rsidRPr="004B0DA6">
        <w:rPr>
          <w:rFonts w:ascii="Times New Roman" w:hAnsi="Times New Roman" w:cs="Times New Roman"/>
          <w:sz w:val="24"/>
        </w:rPr>
        <w:t xml:space="preserve">  </w:t>
      </w:r>
    </w:p>
    <w:p w14:paraId="68F952AF" w14:textId="77777777" w:rsidR="00F8523D" w:rsidRPr="004B0DA6" w:rsidRDefault="00F8523D" w:rsidP="00203597">
      <w:pPr>
        <w:spacing w:after="0"/>
        <w:jc w:val="both"/>
        <w:rPr>
          <w:rFonts w:ascii="Times New Roman" w:hAnsi="Times New Roman" w:cs="Times New Roman"/>
          <w:sz w:val="24"/>
        </w:rPr>
      </w:pPr>
      <w:bookmarkStart w:id="55" w:name="_Hlk91758261"/>
      <w:bookmarkEnd w:id="54"/>
    </w:p>
    <w:p w14:paraId="3B1A953D" w14:textId="21E43F22" w:rsidR="00B86AEA"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xml:space="preserve">The future minimum lease obligations and the net present value of these minimum lease payments as of June 30, </w:t>
      </w:r>
      <w:r w:rsidR="00A85B23" w:rsidRPr="004B0DA6">
        <w:rPr>
          <w:rFonts w:ascii="Times New Roman" w:hAnsi="Times New Roman" w:cs="Times New Roman"/>
          <w:sz w:val="24"/>
        </w:rPr>
        <w:t>202</w:t>
      </w:r>
      <w:r w:rsidR="00712401" w:rsidRPr="004B0DA6">
        <w:rPr>
          <w:rFonts w:ascii="Times New Roman" w:hAnsi="Times New Roman" w:cs="Times New Roman"/>
          <w:sz w:val="24"/>
        </w:rPr>
        <w:t>4</w:t>
      </w:r>
      <w:r w:rsidRPr="004B0DA6">
        <w:rPr>
          <w:rFonts w:ascii="Times New Roman" w:hAnsi="Times New Roman" w:cs="Times New Roman"/>
          <w:sz w:val="24"/>
        </w:rPr>
        <w:t>, were as follows:</w:t>
      </w:r>
      <w:bookmarkStart w:id="56" w:name="_Hlk140701153"/>
    </w:p>
    <w:p w14:paraId="2658AAF2" w14:textId="77777777" w:rsidR="00B86AEA" w:rsidRPr="004B0DA6" w:rsidRDefault="00B86AEA" w:rsidP="00203597">
      <w:pPr>
        <w:spacing w:after="0"/>
        <w:jc w:val="both"/>
        <w:rPr>
          <w:rFonts w:ascii="Times New Roman" w:hAnsi="Times New Roman" w:cs="Times New Roman"/>
          <w:sz w:val="24"/>
        </w:rPr>
      </w:pPr>
    </w:p>
    <w:bookmarkStart w:id="57" w:name="_MON_1695801031"/>
    <w:bookmarkEnd w:id="57"/>
    <w:p w14:paraId="68EE4C60" w14:textId="78309EA8" w:rsidR="00B86AEA" w:rsidRPr="004B0DA6" w:rsidRDefault="00094557" w:rsidP="00203597">
      <w:pPr>
        <w:spacing w:after="0"/>
        <w:jc w:val="center"/>
        <w:rPr>
          <w:rFonts w:ascii="Times New Roman" w:hAnsi="Times New Roman" w:cs="Times New Roman"/>
          <w:sz w:val="24"/>
        </w:rPr>
      </w:pPr>
      <w:r w:rsidRPr="004B0DA6">
        <w:rPr>
          <w:rFonts w:ascii="Times New Roman" w:hAnsi="Times New Roman" w:cs="Times New Roman"/>
          <w:sz w:val="24"/>
        </w:rPr>
        <w:object w:dxaOrig="8006" w:dyaOrig="3063" w14:anchorId="70019971">
          <v:shape id="_x0000_i1049" type="#_x0000_t75" style="width:317.25pt;height:130.5pt" o:ole="">
            <v:imagedata r:id="rId79" o:title=""/>
          </v:shape>
          <o:OLEObject Type="Embed" ProgID="Excel.Sheet.12" ShapeID="_x0000_i1049" DrawAspect="Content" ObjectID="_1793012041" r:id="rId80"/>
        </w:object>
      </w:r>
      <w:bookmarkEnd w:id="52"/>
      <w:bookmarkEnd w:id="53"/>
      <w:bookmarkEnd w:id="55"/>
      <w:bookmarkEnd w:id="56"/>
    </w:p>
    <w:p w14:paraId="61243996" w14:textId="36695F65" w:rsidR="0056179C" w:rsidRPr="004B0DA6" w:rsidRDefault="0056179C" w:rsidP="00203597">
      <w:pPr>
        <w:keepNext/>
        <w:keepLines/>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exact"/>
        <w:jc w:val="both"/>
        <w:rPr>
          <w:rFonts w:ascii="Times New Roman" w:hAnsi="Times New Roman" w:cs="Times New Roman"/>
          <w:sz w:val="24"/>
          <w:szCs w:val="24"/>
        </w:rPr>
      </w:pPr>
      <w:bookmarkStart w:id="58" w:name="_Hlk19536934"/>
      <w:r w:rsidRPr="004B0DA6">
        <w:rPr>
          <w:rFonts w:ascii="Times New Roman" w:hAnsi="Times New Roman" w:cs="Times New Roman"/>
          <w:b/>
          <w:sz w:val="24"/>
          <w:szCs w:val="24"/>
        </w:rPr>
        <w:lastRenderedPageBreak/>
        <w:t>Note to preparer</w:t>
      </w:r>
      <w:r w:rsidRPr="004B0DA6">
        <w:rPr>
          <w:rFonts w:ascii="Times New Roman" w:hAnsi="Times New Roman" w:cs="Times New Roman"/>
          <w:sz w:val="24"/>
          <w:szCs w:val="24"/>
        </w:rPr>
        <w:t xml:space="preserve">:  In paragraph 19 of GASB 87, </w:t>
      </w:r>
      <w:r w:rsidRPr="004B0DA6">
        <w:rPr>
          <w:rFonts w:ascii="Times New Roman" w:hAnsi="Times New Roman" w:cs="Times New Roman"/>
          <w:i/>
          <w:sz w:val="24"/>
          <w:szCs w:val="24"/>
        </w:rPr>
        <w:t>Leases</w:t>
      </w:r>
      <w:r w:rsidRPr="004B0DA6">
        <w:rPr>
          <w:rFonts w:ascii="Times New Roman" w:hAnsi="Times New Roman" w:cs="Times New Roman"/>
          <w:sz w:val="24"/>
          <w:szCs w:val="24"/>
        </w:rPr>
        <w:t xml:space="preserve">, contracts that transfer ownership of the underlying asset </w:t>
      </w:r>
      <w:r w:rsidRPr="004B0DA6">
        <w:rPr>
          <w:rFonts w:ascii="Times New Roman" w:hAnsi="Times New Roman" w:cs="Times New Roman"/>
          <w:sz w:val="24"/>
          <w:szCs w:val="24"/>
          <w:u w:val="single"/>
        </w:rPr>
        <w:t>and</w:t>
      </w:r>
      <w:r w:rsidRPr="004B0DA6">
        <w:rPr>
          <w:rFonts w:ascii="Times New Roman" w:hAnsi="Times New Roman" w:cs="Times New Roman"/>
          <w:sz w:val="24"/>
          <w:szCs w:val="24"/>
        </w:rPr>
        <w:t xml:space="preserve"> do not contain termination options are reported as financed purchases, not leases.  If both conditions exist in a contract or a group of contracts, then </w:t>
      </w:r>
      <w:r w:rsidR="00B86AEA" w:rsidRPr="004B0DA6">
        <w:rPr>
          <w:rFonts w:ascii="Times New Roman" w:hAnsi="Times New Roman" w:cs="Times New Roman"/>
          <w:sz w:val="24"/>
          <w:szCs w:val="24"/>
        </w:rPr>
        <w:t>the</w:t>
      </w:r>
      <w:r w:rsidRPr="004B0DA6">
        <w:rPr>
          <w:rFonts w:ascii="Times New Roman" w:hAnsi="Times New Roman" w:cs="Times New Roman"/>
          <w:sz w:val="24"/>
          <w:szCs w:val="24"/>
        </w:rPr>
        <w:t xml:space="preserve"> liability is</w:t>
      </w:r>
      <w:r w:rsidR="00B86AEA" w:rsidRPr="004B0DA6">
        <w:rPr>
          <w:rFonts w:ascii="Times New Roman" w:hAnsi="Times New Roman" w:cs="Times New Roman"/>
          <w:sz w:val="24"/>
          <w:szCs w:val="24"/>
        </w:rPr>
        <w:t xml:space="preserve"> subject to the requirements of</w:t>
      </w:r>
      <w:r w:rsidRPr="004B0DA6">
        <w:rPr>
          <w:rFonts w:ascii="Times New Roman" w:hAnsi="Times New Roman" w:cs="Times New Roman"/>
          <w:sz w:val="24"/>
          <w:szCs w:val="24"/>
        </w:rPr>
        <w:t xml:space="preserve"> GASB 88, </w:t>
      </w:r>
      <w:r w:rsidRPr="004B0DA6">
        <w:rPr>
          <w:rFonts w:ascii="Times New Roman" w:hAnsi="Times New Roman" w:cs="Times New Roman"/>
          <w:i/>
          <w:sz w:val="24"/>
          <w:szCs w:val="24"/>
        </w:rPr>
        <w:t>Certain Disclosures Related to Debt, including Direct Borrowings and Direct Placements</w:t>
      </w:r>
      <w:r w:rsidR="00B86AEA" w:rsidRPr="004B0DA6">
        <w:rPr>
          <w:rFonts w:ascii="Times New Roman" w:hAnsi="Times New Roman" w:cs="Times New Roman"/>
          <w:sz w:val="24"/>
          <w:szCs w:val="24"/>
        </w:rPr>
        <w:t xml:space="preserve">. Contracts of this nature </w:t>
      </w:r>
      <w:r w:rsidRPr="004B0DA6">
        <w:rPr>
          <w:rFonts w:ascii="Times New Roman" w:hAnsi="Times New Roman" w:cs="Times New Roman"/>
          <w:sz w:val="24"/>
          <w:szCs w:val="24"/>
        </w:rPr>
        <w:t xml:space="preserve">will need to be assessed to determine how GASB 88 debt disclosures should be addressed.  </w:t>
      </w:r>
    </w:p>
    <w:bookmarkEnd w:id="58"/>
    <w:p w14:paraId="289B6BCC" w14:textId="77777777" w:rsidR="00565FDD" w:rsidRPr="004B0DA6" w:rsidRDefault="00565FDD" w:rsidP="00203597">
      <w:pPr>
        <w:spacing w:after="0"/>
        <w:rPr>
          <w:rFonts w:ascii="Times New Roman" w:hAnsi="Times New Roman" w:cs="Times New Roman"/>
        </w:rPr>
      </w:pPr>
    </w:p>
    <w:p w14:paraId="5E8C18B8" w14:textId="77777777" w:rsidR="00565FDD" w:rsidRPr="004B0DA6" w:rsidRDefault="00565FDD" w:rsidP="00203597">
      <w:pPr>
        <w:spacing w:after="0"/>
        <w:rPr>
          <w:rFonts w:ascii="Times New Roman" w:hAnsi="Times New Roman" w:cs="Times New Roman"/>
        </w:rPr>
      </w:pPr>
    </w:p>
    <w:p w14:paraId="0BE2903F" w14:textId="77777777" w:rsidR="00565FDD" w:rsidRPr="004B0DA6" w:rsidRDefault="00565FDD" w:rsidP="00203597">
      <w:pPr>
        <w:spacing w:after="0"/>
        <w:rPr>
          <w:rFonts w:ascii="Times New Roman" w:hAnsi="Times New Roman" w:cs="Times New Roman"/>
        </w:rPr>
      </w:pPr>
    </w:p>
    <w:p w14:paraId="47B9028A" w14:textId="77777777" w:rsidR="00565FDD" w:rsidRPr="004B0DA6" w:rsidRDefault="00565FDD" w:rsidP="00203597">
      <w:pPr>
        <w:spacing w:after="0"/>
        <w:rPr>
          <w:rFonts w:ascii="Times New Roman" w:hAnsi="Times New Roman" w:cs="Times New Roman"/>
        </w:rPr>
      </w:pPr>
    </w:p>
    <w:p w14:paraId="58FECD59" w14:textId="77777777" w:rsidR="00565FDD" w:rsidRPr="004B0DA6" w:rsidRDefault="00565FDD" w:rsidP="00203597">
      <w:pPr>
        <w:spacing w:after="0"/>
        <w:jc w:val="center"/>
        <w:rPr>
          <w:rFonts w:ascii="Times New Roman" w:hAnsi="Times New Roman" w:cs="Times New Roman"/>
          <w:sz w:val="24"/>
          <w:szCs w:val="24"/>
        </w:rPr>
      </w:pPr>
      <w:r w:rsidRPr="004B0DA6">
        <w:rPr>
          <w:rFonts w:ascii="Times New Roman" w:hAnsi="Times New Roman" w:cs="Times New Roman"/>
          <w:sz w:val="24"/>
          <w:szCs w:val="24"/>
        </w:rPr>
        <w:t>(Continued on next page)</w:t>
      </w:r>
    </w:p>
    <w:p w14:paraId="1E351F31" w14:textId="33CD85CE" w:rsidR="0056179C" w:rsidRPr="004B0DA6" w:rsidRDefault="00565FDD" w:rsidP="00203597">
      <w:pPr>
        <w:spacing w:after="0"/>
        <w:rPr>
          <w:rFonts w:ascii="Times New Roman" w:eastAsia="Times New Roman" w:hAnsi="Times New Roman" w:cs="Times New Roman"/>
          <w:sz w:val="20"/>
          <w:szCs w:val="24"/>
        </w:rPr>
      </w:pPr>
      <w:r w:rsidRPr="004B0DA6">
        <w:rPr>
          <w:rFonts w:ascii="Times New Roman" w:hAnsi="Times New Roman" w:cs="Times New Roman"/>
        </w:rPr>
        <w:br w:type="page"/>
      </w:r>
      <w:r w:rsidR="0056179C" w:rsidRPr="004B0DA6">
        <w:rPr>
          <w:rFonts w:ascii="Times New Roman" w:hAnsi="Times New Roman" w:cs="Times New Roman"/>
          <w:sz w:val="24"/>
        </w:rPr>
        <w:lastRenderedPageBreak/>
        <w:t xml:space="preserve">b. </w:t>
      </w:r>
      <w:r w:rsidR="0056179C" w:rsidRPr="004B0DA6">
        <w:rPr>
          <w:rFonts w:ascii="Times New Roman" w:hAnsi="Times New Roman" w:cs="Times New Roman"/>
          <w:sz w:val="24"/>
          <w:u w:val="single"/>
        </w:rPr>
        <w:t xml:space="preserve">Installment Purchase </w:t>
      </w:r>
    </w:p>
    <w:p w14:paraId="74A7AC6C" w14:textId="77777777" w:rsidR="00F8523D" w:rsidRPr="004B0DA6" w:rsidRDefault="00F8523D" w:rsidP="00203597">
      <w:pPr>
        <w:spacing w:after="0"/>
        <w:jc w:val="both"/>
        <w:rPr>
          <w:rFonts w:ascii="Times New Roman" w:hAnsi="Times New Roman" w:cs="Times New Roman"/>
          <w:sz w:val="24"/>
        </w:rPr>
      </w:pPr>
    </w:p>
    <w:p w14:paraId="76FA60EE" w14:textId="69336378"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In January 202</w:t>
      </w:r>
      <w:r w:rsidR="00712401" w:rsidRPr="004B0DA6">
        <w:rPr>
          <w:rFonts w:ascii="Times New Roman" w:hAnsi="Times New Roman" w:cs="Times New Roman"/>
          <w:sz w:val="24"/>
        </w:rPr>
        <w:t>4</w:t>
      </w:r>
      <w:r w:rsidRPr="004B0DA6">
        <w:rPr>
          <w:rFonts w:ascii="Times New Roman" w:hAnsi="Times New Roman" w:cs="Times New Roman"/>
          <w:sz w:val="24"/>
        </w:rPr>
        <w:t xml:space="preserve">, the City </w:t>
      </w:r>
      <w:proofErr w:type="gramStart"/>
      <w:r w:rsidRPr="004B0DA6">
        <w:rPr>
          <w:rFonts w:ascii="Times New Roman" w:hAnsi="Times New Roman" w:cs="Times New Roman"/>
          <w:sz w:val="24"/>
        </w:rPr>
        <w:t>entered into</w:t>
      </w:r>
      <w:proofErr w:type="gramEnd"/>
      <w:r w:rsidRPr="004B0DA6">
        <w:rPr>
          <w:rFonts w:ascii="Times New Roman" w:hAnsi="Times New Roman" w:cs="Times New Roman"/>
          <w:sz w:val="24"/>
        </w:rPr>
        <w:t xml:space="preserve"> a $200,000 direct placement contract to finance parking improvements for a municipal park. The property is pledged as collateral for the debt while the debt is outstanding. The financing contract requires principal payments beginning in fiscal year </w:t>
      </w:r>
      <w:r w:rsidR="00A85B23" w:rsidRPr="004B0DA6">
        <w:rPr>
          <w:rFonts w:ascii="Times New Roman" w:hAnsi="Times New Roman" w:cs="Times New Roman"/>
          <w:sz w:val="24"/>
        </w:rPr>
        <w:t>202</w:t>
      </w:r>
      <w:r w:rsidR="006E2F2F" w:rsidRPr="004B0DA6">
        <w:rPr>
          <w:rFonts w:ascii="Times New Roman" w:hAnsi="Times New Roman" w:cs="Times New Roman"/>
          <w:sz w:val="24"/>
        </w:rPr>
        <w:t>4</w:t>
      </w:r>
      <w:r w:rsidRPr="004B0DA6">
        <w:rPr>
          <w:rFonts w:ascii="Times New Roman" w:hAnsi="Times New Roman" w:cs="Times New Roman"/>
          <w:sz w:val="24"/>
        </w:rPr>
        <w:t xml:space="preserve"> with interest rates ranging from 4.50 to 4.95 percent.</w:t>
      </w:r>
    </w:p>
    <w:p w14:paraId="0914AEF0" w14:textId="77777777" w:rsidR="007B7C90" w:rsidRPr="004B0DA6" w:rsidRDefault="007B7C90" w:rsidP="00203597">
      <w:pPr>
        <w:spacing w:after="0"/>
        <w:jc w:val="both"/>
        <w:rPr>
          <w:rFonts w:ascii="Times New Roman" w:hAnsi="Times New Roman" w:cs="Times New Roman"/>
          <w:sz w:val="24"/>
        </w:rPr>
      </w:pPr>
    </w:p>
    <w:p w14:paraId="189C6C79" w14:textId="719A9642" w:rsidR="0056179C" w:rsidRPr="004B0DA6" w:rsidRDefault="0056179C" w:rsidP="00203597">
      <w:pPr>
        <w:pStyle w:val="BodyText2"/>
        <w:keepNext/>
        <w:rPr>
          <w:rFonts w:ascii="Times New Roman" w:hAnsi="Times New Roman" w:cs="Times New Roman"/>
          <w:sz w:val="24"/>
        </w:rPr>
      </w:pPr>
      <w:r w:rsidRPr="004B0DA6">
        <w:rPr>
          <w:rFonts w:ascii="Times New Roman" w:hAnsi="Times New Roman" w:cs="Times New Roman"/>
          <w:sz w:val="24"/>
        </w:rPr>
        <w:t xml:space="preserve">Annual debt service </w:t>
      </w:r>
      <w:r w:rsidR="00774E61" w:rsidRPr="004B0DA6">
        <w:rPr>
          <w:rFonts w:ascii="Times New Roman" w:hAnsi="Times New Roman" w:cs="Times New Roman"/>
          <w:sz w:val="24"/>
        </w:rPr>
        <w:t xml:space="preserve">principal and interest </w:t>
      </w:r>
      <w:r w:rsidRPr="004B0DA6">
        <w:rPr>
          <w:rFonts w:ascii="Times New Roman" w:hAnsi="Times New Roman" w:cs="Times New Roman"/>
          <w:sz w:val="24"/>
        </w:rPr>
        <w:t>payments f</w:t>
      </w:r>
      <w:r w:rsidR="00774E61" w:rsidRPr="004B0DA6">
        <w:rPr>
          <w:rFonts w:ascii="Times New Roman" w:hAnsi="Times New Roman" w:cs="Times New Roman"/>
          <w:sz w:val="24"/>
        </w:rPr>
        <w:t>or</w:t>
      </w:r>
      <w:r w:rsidRPr="004B0DA6">
        <w:rPr>
          <w:rFonts w:ascii="Times New Roman" w:hAnsi="Times New Roman" w:cs="Times New Roman"/>
          <w:sz w:val="24"/>
        </w:rPr>
        <w:t xml:space="preserve"> the installment purchase as of June 30, 202</w:t>
      </w:r>
      <w:r w:rsidR="00712401" w:rsidRPr="004B0DA6">
        <w:rPr>
          <w:rFonts w:ascii="Times New Roman" w:hAnsi="Times New Roman" w:cs="Times New Roman"/>
          <w:sz w:val="24"/>
        </w:rPr>
        <w:t>4</w:t>
      </w:r>
      <w:r w:rsidRPr="004B0DA6">
        <w:rPr>
          <w:rFonts w:ascii="Times New Roman" w:hAnsi="Times New Roman" w:cs="Times New Roman"/>
          <w:sz w:val="24"/>
        </w:rPr>
        <w:t xml:space="preserve">, </w:t>
      </w:r>
      <w:r w:rsidR="00774E61" w:rsidRPr="004B0DA6">
        <w:rPr>
          <w:rFonts w:ascii="Times New Roman" w:hAnsi="Times New Roman" w:cs="Times New Roman"/>
          <w:sz w:val="24"/>
        </w:rPr>
        <w:t>a</w:t>
      </w:r>
      <w:r w:rsidRPr="004B0DA6">
        <w:rPr>
          <w:rFonts w:ascii="Times New Roman" w:hAnsi="Times New Roman" w:cs="Times New Roman"/>
          <w:sz w:val="24"/>
        </w:rPr>
        <w:t>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12"/>
        <w:gridCol w:w="1675"/>
      </w:tblGrid>
      <w:tr w:rsidR="008B329C" w:rsidRPr="004B0DA6" w14:paraId="5CE64675" w14:textId="77777777" w:rsidTr="00F9386B">
        <w:trPr>
          <w:trHeight w:val="315"/>
        </w:trPr>
        <w:tc>
          <w:tcPr>
            <w:tcW w:w="3012" w:type="dxa"/>
            <w:tcBorders>
              <w:top w:val="nil"/>
              <w:left w:val="nil"/>
              <w:bottom w:val="nil"/>
              <w:right w:val="nil"/>
            </w:tcBorders>
            <w:shd w:val="clear" w:color="auto" w:fill="auto"/>
            <w:noWrap/>
          </w:tcPr>
          <w:p w14:paraId="24C25C02" w14:textId="77777777" w:rsidR="008B329C" w:rsidRPr="004B0DA6" w:rsidRDefault="008B329C" w:rsidP="00203597">
            <w:pPr>
              <w:spacing w:after="0" w:line="240" w:lineRule="auto"/>
              <w:rPr>
                <w:rFonts w:ascii="Times New Roman" w:eastAsia="Times New Roman" w:hAnsi="Times New Roman" w:cs="Times New Roman"/>
                <w:sz w:val="24"/>
                <w:szCs w:val="24"/>
              </w:rPr>
            </w:pPr>
          </w:p>
        </w:tc>
        <w:tc>
          <w:tcPr>
            <w:tcW w:w="4687" w:type="dxa"/>
            <w:gridSpan w:val="2"/>
            <w:tcBorders>
              <w:top w:val="nil"/>
              <w:left w:val="nil"/>
              <w:bottom w:val="single" w:sz="4" w:space="0" w:color="auto"/>
              <w:right w:val="nil"/>
            </w:tcBorders>
            <w:shd w:val="clear" w:color="auto" w:fill="auto"/>
            <w:noWrap/>
          </w:tcPr>
          <w:p w14:paraId="4F5076B1" w14:textId="3262274D" w:rsidR="008B329C" w:rsidRPr="004B0DA6" w:rsidRDefault="008B329C" w:rsidP="00203597">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Direct Placement</w:t>
            </w:r>
          </w:p>
        </w:tc>
      </w:tr>
      <w:tr w:rsidR="0056179C" w:rsidRPr="004B0DA6" w14:paraId="6CDE5E88" w14:textId="77777777" w:rsidTr="00F9386B">
        <w:trPr>
          <w:trHeight w:val="315"/>
        </w:trPr>
        <w:tc>
          <w:tcPr>
            <w:tcW w:w="3012" w:type="dxa"/>
            <w:tcBorders>
              <w:top w:val="nil"/>
              <w:left w:val="nil"/>
              <w:bottom w:val="nil"/>
              <w:right w:val="nil"/>
            </w:tcBorders>
            <w:shd w:val="clear" w:color="auto" w:fill="auto"/>
            <w:noWrap/>
            <w:hideMark/>
          </w:tcPr>
          <w:p w14:paraId="43FA1D6C" w14:textId="77777777" w:rsidR="0056179C" w:rsidRPr="004B0DA6" w:rsidRDefault="0056179C" w:rsidP="00203597">
            <w:pPr>
              <w:spacing w:after="0" w:line="240" w:lineRule="auto"/>
              <w:rPr>
                <w:rFonts w:ascii="Times New Roman" w:eastAsia="Times New Roman" w:hAnsi="Times New Roman" w:cs="Times New Roman"/>
                <w:sz w:val="24"/>
                <w:szCs w:val="24"/>
              </w:rPr>
            </w:pPr>
          </w:p>
        </w:tc>
        <w:tc>
          <w:tcPr>
            <w:tcW w:w="4687" w:type="dxa"/>
            <w:gridSpan w:val="2"/>
            <w:tcBorders>
              <w:top w:val="nil"/>
              <w:left w:val="nil"/>
              <w:bottom w:val="single" w:sz="4" w:space="0" w:color="auto"/>
              <w:right w:val="nil"/>
            </w:tcBorders>
            <w:shd w:val="clear" w:color="auto" w:fill="auto"/>
            <w:noWrap/>
            <w:hideMark/>
          </w:tcPr>
          <w:p w14:paraId="6D478C4D" w14:textId="77777777" w:rsidR="0056179C" w:rsidRPr="004B0DA6" w:rsidRDefault="0056179C" w:rsidP="00203597">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Governmental Activities</w:t>
            </w:r>
          </w:p>
        </w:tc>
      </w:tr>
      <w:tr w:rsidR="0056179C" w:rsidRPr="004B0DA6" w14:paraId="5E9EBEE4" w14:textId="77777777" w:rsidTr="00F9386B">
        <w:trPr>
          <w:trHeight w:val="315"/>
        </w:trPr>
        <w:tc>
          <w:tcPr>
            <w:tcW w:w="3012" w:type="dxa"/>
            <w:tcBorders>
              <w:top w:val="nil"/>
              <w:left w:val="nil"/>
              <w:bottom w:val="single" w:sz="4" w:space="0" w:color="auto"/>
              <w:right w:val="nil"/>
            </w:tcBorders>
            <w:shd w:val="clear" w:color="auto" w:fill="auto"/>
            <w:noWrap/>
            <w:hideMark/>
          </w:tcPr>
          <w:p w14:paraId="29DD6B4A"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Year Ending June 30</w:t>
            </w:r>
          </w:p>
        </w:tc>
        <w:tc>
          <w:tcPr>
            <w:tcW w:w="3012" w:type="dxa"/>
            <w:tcBorders>
              <w:top w:val="single" w:sz="4" w:space="0" w:color="auto"/>
              <w:left w:val="nil"/>
              <w:bottom w:val="single" w:sz="4" w:space="0" w:color="auto"/>
              <w:right w:val="nil"/>
            </w:tcBorders>
            <w:shd w:val="clear" w:color="auto" w:fill="auto"/>
            <w:noWrap/>
            <w:hideMark/>
          </w:tcPr>
          <w:p w14:paraId="2E69AE4E"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Principal</w:t>
            </w:r>
          </w:p>
        </w:tc>
        <w:tc>
          <w:tcPr>
            <w:tcW w:w="1675" w:type="dxa"/>
            <w:tcBorders>
              <w:top w:val="single" w:sz="4" w:space="0" w:color="auto"/>
              <w:left w:val="nil"/>
              <w:bottom w:val="single" w:sz="4" w:space="0" w:color="auto"/>
              <w:right w:val="nil"/>
            </w:tcBorders>
            <w:shd w:val="clear" w:color="auto" w:fill="auto"/>
          </w:tcPr>
          <w:p w14:paraId="2750B78F"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Interest</w:t>
            </w:r>
          </w:p>
        </w:tc>
      </w:tr>
      <w:tr w:rsidR="0056179C" w:rsidRPr="004B0DA6" w14:paraId="15E4DC6D" w14:textId="77777777" w:rsidTr="00F9386B">
        <w:trPr>
          <w:trHeight w:val="315"/>
        </w:trPr>
        <w:tc>
          <w:tcPr>
            <w:tcW w:w="3012" w:type="dxa"/>
            <w:tcBorders>
              <w:top w:val="single" w:sz="4" w:space="0" w:color="auto"/>
              <w:left w:val="nil"/>
              <w:bottom w:val="nil"/>
              <w:right w:val="nil"/>
            </w:tcBorders>
            <w:shd w:val="clear" w:color="auto" w:fill="auto"/>
            <w:noWrap/>
            <w:hideMark/>
          </w:tcPr>
          <w:p w14:paraId="0B0E17C8" w14:textId="34223F14"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202</w:t>
            </w:r>
            <w:r w:rsidR="006E2F2F" w:rsidRPr="004B0DA6">
              <w:rPr>
                <w:rFonts w:ascii="Times New Roman" w:eastAsia="Times New Roman" w:hAnsi="Times New Roman" w:cs="Times New Roman"/>
                <w:sz w:val="24"/>
                <w:szCs w:val="24"/>
              </w:rPr>
              <w:t>4</w:t>
            </w:r>
          </w:p>
        </w:tc>
        <w:tc>
          <w:tcPr>
            <w:tcW w:w="3012" w:type="dxa"/>
            <w:tcBorders>
              <w:top w:val="single" w:sz="4" w:space="0" w:color="auto"/>
              <w:left w:val="nil"/>
              <w:bottom w:val="nil"/>
              <w:right w:val="nil"/>
            </w:tcBorders>
            <w:shd w:val="clear" w:color="auto" w:fill="auto"/>
            <w:noWrap/>
            <w:hideMark/>
          </w:tcPr>
          <w:p w14:paraId="36B31D29"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           10,000 </w:t>
            </w:r>
          </w:p>
        </w:tc>
        <w:tc>
          <w:tcPr>
            <w:tcW w:w="1675" w:type="dxa"/>
            <w:tcBorders>
              <w:top w:val="single" w:sz="4" w:space="0" w:color="auto"/>
              <w:left w:val="nil"/>
              <w:bottom w:val="nil"/>
              <w:right w:val="nil"/>
            </w:tcBorders>
            <w:shd w:val="clear" w:color="auto" w:fill="auto"/>
          </w:tcPr>
          <w:p w14:paraId="10728F01"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        8,475 </w:t>
            </w:r>
          </w:p>
        </w:tc>
      </w:tr>
      <w:tr w:rsidR="0056179C" w:rsidRPr="004B0DA6" w14:paraId="1F9907FB" w14:textId="77777777" w:rsidTr="00F9386B">
        <w:trPr>
          <w:trHeight w:val="315"/>
        </w:trPr>
        <w:tc>
          <w:tcPr>
            <w:tcW w:w="3012" w:type="dxa"/>
            <w:tcBorders>
              <w:top w:val="nil"/>
              <w:left w:val="nil"/>
              <w:bottom w:val="nil"/>
              <w:right w:val="nil"/>
            </w:tcBorders>
            <w:shd w:val="clear" w:color="auto" w:fill="auto"/>
            <w:noWrap/>
            <w:hideMark/>
          </w:tcPr>
          <w:p w14:paraId="07E90AE2" w14:textId="014436EF"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202</w:t>
            </w:r>
            <w:r w:rsidR="006E2F2F" w:rsidRPr="004B0DA6">
              <w:rPr>
                <w:rFonts w:ascii="Times New Roman" w:eastAsia="Times New Roman" w:hAnsi="Times New Roman" w:cs="Times New Roman"/>
                <w:sz w:val="24"/>
                <w:szCs w:val="24"/>
              </w:rPr>
              <w:t>5</w:t>
            </w:r>
          </w:p>
        </w:tc>
        <w:tc>
          <w:tcPr>
            <w:tcW w:w="3012" w:type="dxa"/>
            <w:tcBorders>
              <w:top w:val="nil"/>
              <w:left w:val="nil"/>
              <w:bottom w:val="nil"/>
              <w:right w:val="nil"/>
            </w:tcBorders>
            <w:shd w:val="clear" w:color="auto" w:fill="auto"/>
            <w:noWrap/>
            <w:hideMark/>
          </w:tcPr>
          <w:p w14:paraId="125325F2"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10,000 </w:t>
            </w:r>
          </w:p>
        </w:tc>
        <w:tc>
          <w:tcPr>
            <w:tcW w:w="1675" w:type="dxa"/>
            <w:tcBorders>
              <w:top w:val="nil"/>
              <w:left w:val="nil"/>
              <w:bottom w:val="nil"/>
              <w:right w:val="nil"/>
            </w:tcBorders>
            <w:shd w:val="clear" w:color="auto" w:fill="auto"/>
          </w:tcPr>
          <w:p w14:paraId="1AE35DFA"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7,625 </w:t>
            </w:r>
          </w:p>
        </w:tc>
      </w:tr>
      <w:tr w:rsidR="0056179C" w:rsidRPr="004B0DA6" w14:paraId="4AFEB596" w14:textId="77777777" w:rsidTr="00F9386B">
        <w:trPr>
          <w:trHeight w:val="315"/>
        </w:trPr>
        <w:tc>
          <w:tcPr>
            <w:tcW w:w="3012" w:type="dxa"/>
            <w:tcBorders>
              <w:top w:val="nil"/>
              <w:left w:val="nil"/>
              <w:bottom w:val="nil"/>
              <w:right w:val="nil"/>
            </w:tcBorders>
            <w:shd w:val="clear" w:color="auto" w:fill="auto"/>
            <w:noWrap/>
            <w:hideMark/>
          </w:tcPr>
          <w:p w14:paraId="4CD3D896" w14:textId="54A86B0A"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202</w:t>
            </w:r>
            <w:r w:rsidR="006E2F2F" w:rsidRPr="004B0DA6">
              <w:rPr>
                <w:rFonts w:ascii="Times New Roman" w:eastAsia="Times New Roman" w:hAnsi="Times New Roman" w:cs="Times New Roman"/>
                <w:sz w:val="24"/>
                <w:szCs w:val="24"/>
              </w:rPr>
              <w:t>6</w:t>
            </w:r>
          </w:p>
        </w:tc>
        <w:tc>
          <w:tcPr>
            <w:tcW w:w="3012" w:type="dxa"/>
            <w:tcBorders>
              <w:top w:val="nil"/>
              <w:left w:val="nil"/>
              <w:bottom w:val="nil"/>
              <w:right w:val="nil"/>
            </w:tcBorders>
            <w:shd w:val="clear" w:color="auto" w:fill="auto"/>
            <w:noWrap/>
            <w:hideMark/>
          </w:tcPr>
          <w:p w14:paraId="7628D95E"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10,000 </w:t>
            </w:r>
          </w:p>
        </w:tc>
        <w:tc>
          <w:tcPr>
            <w:tcW w:w="1675" w:type="dxa"/>
            <w:tcBorders>
              <w:top w:val="nil"/>
              <w:left w:val="nil"/>
              <w:bottom w:val="nil"/>
              <w:right w:val="nil"/>
            </w:tcBorders>
            <w:shd w:val="clear" w:color="auto" w:fill="auto"/>
          </w:tcPr>
          <w:p w14:paraId="1827D40D"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6,775 </w:t>
            </w:r>
          </w:p>
        </w:tc>
      </w:tr>
      <w:tr w:rsidR="0056179C" w:rsidRPr="004B0DA6" w14:paraId="6817A76B" w14:textId="77777777" w:rsidTr="00F9386B">
        <w:trPr>
          <w:trHeight w:val="315"/>
        </w:trPr>
        <w:tc>
          <w:tcPr>
            <w:tcW w:w="3012" w:type="dxa"/>
            <w:tcBorders>
              <w:top w:val="nil"/>
              <w:left w:val="nil"/>
              <w:bottom w:val="nil"/>
              <w:right w:val="nil"/>
            </w:tcBorders>
            <w:shd w:val="clear" w:color="auto" w:fill="auto"/>
            <w:noWrap/>
            <w:hideMark/>
          </w:tcPr>
          <w:p w14:paraId="2889248B" w14:textId="3787FBEB"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202</w:t>
            </w:r>
            <w:r w:rsidR="006E2F2F" w:rsidRPr="004B0DA6">
              <w:rPr>
                <w:rFonts w:ascii="Times New Roman" w:eastAsia="Times New Roman" w:hAnsi="Times New Roman" w:cs="Times New Roman"/>
                <w:sz w:val="24"/>
                <w:szCs w:val="24"/>
              </w:rPr>
              <w:t>7</w:t>
            </w:r>
          </w:p>
        </w:tc>
        <w:tc>
          <w:tcPr>
            <w:tcW w:w="3012" w:type="dxa"/>
            <w:tcBorders>
              <w:top w:val="nil"/>
              <w:left w:val="nil"/>
              <w:bottom w:val="nil"/>
              <w:right w:val="nil"/>
            </w:tcBorders>
            <w:shd w:val="clear" w:color="auto" w:fill="auto"/>
            <w:noWrap/>
            <w:hideMark/>
          </w:tcPr>
          <w:p w14:paraId="304BB54D"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10,000 </w:t>
            </w:r>
          </w:p>
        </w:tc>
        <w:tc>
          <w:tcPr>
            <w:tcW w:w="1675" w:type="dxa"/>
            <w:tcBorders>
              <w:top w:val="nil"/>
              <w:left w:val="nil"/>
              <w:bottom w:val="nil"/>
              <w:right w:val="nil"/>
            </w:tcBorders>
            <w:shd w:val="clear" w:color="auto" w:fill="auto"/>
          </w:tcPr>
          <w:p w14:paraId="6377056A"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5,925 </w:t>
            </w:r>
          </w:p>
        </w:tc>
      </w:tr>
      <w:tr w:rsidR="0056179C" w:rsidRPr="004B0DA6" w14:paraId="47B527A4" w14:textId="77777777" w:rsidTr="00F9386B">
        <w:trPr>
          <w:trHeight w:val="315"/>
        </w:trPr>
        <w:tc>
          <w:tcPr>
            <w:tcW w:w="3012" w:type="dxa"/>
            <w:tcBorders>
              <w:top w:val="nil"/>
              <w:left w:val="nil"/>
              <w:bottom w:val="nil"/>
              <w:right w:val="nil"/>
            </w:tcBorders>
            <w:shd w:val="clear" w:color="auto" w:fill="auto"/>
            <w:noWrap/>
            <w:hideMark/>
          </w:tcPr>
          <w:p w14:paraId="6E7EB3FF" w14:textId="5F74FCB0"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202</w:t>
            </w:r>
            <w:r w:rsidR="006E2F2F" w:rsidRPr="004B0DA6">
              <w:rPr>
                <w:rFonts w:ascii="Times New Roman" w:eastAsia="Times New Roman" w:hAnsi="Times New Roman" w:cs="Times New Roman"/>
                <w:sz w:val="24"/>
                <w:szCs w:val="24"/>
              </w:rPr>
              <w:t>8</w:t>
            </w:r>
          </w:p>
        </w:tc>
        <w:tc>
          <w:tcPr>
            <w:tcW w:w="3012" w:type="dxa"/>
            <w:tcBorders>
              <w:top w:val="nil"/>
              <w:left w:val="nil"/>
              <w:bottom w:val="nil"/>
              <w:right w:val="nil"/>
            </w:tcBorders>
            <w:shd w:val="clear" w:color="auto" w:fill="auto"/>
            <w:noWrap/>
            <w:hideMark/>
          </w:tcPr>
          <w:p w14:paraId="0DCC2EB5"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10,000 </w:t>
            </w:r>
          </w:p>
        </w:tc>
        <w:tc>
          <w:tcPr>
            <w:tcW w:w="1675" w:type="dxa"/>
            <w:tcBorders>
              <w:top w:val="nil"/>
              <w:left w:val="nil"/>
              <w:bottom w:val="nil"/>
              <w:right w:val="nil"/>
            </w:tcBorders>
            <w:shd w:val="clear" w:color="auto" w:fill="auto"/>
          </w:tcPr>
          <w:p w14:paraId="6D288CF9"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5,075 </w:t>
            </w:r>
          </w:p>
        </w:tc>
      </w:tr>
      <w:tr w:rsidR="0056179C" w:rsidRPr="004B0DA6" w14:paraId="15BD65F3" w14:textId="77777777" w:rsidTr="00F9386B">
        <w:trPr>
          <w:trHeight w:val="315"/>
        </w:trPr>
        <w:tc>
          <w:tcPr>
            <w:tcW w:w="3012" w:type="dxa"/>
            <w:tcBorders>
              <w:top w:val="nil"/>
              <w:left w:val="nil"/>
              <w:bottom w:val="nil"/>
              <w:right w:val="nil"/>
            </w:tcBorders>
            <w:shd w:val="clear" w:color="auto" w:fill="auto"/>
            <w:noWrap/>
            <w:hideMark/>
          </w:tcPr>
          <w:p w14:paraId="0BBE89BC" w14:textId="1B4EC95F"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202</w:t>
            </w:r>
            <w:r w:rsidR="006E2F2F" w:rsidRPr="004B0DA6">
              <w:rPr>
                <w:rFonts w:ascii="Times New Roman" w:eastAsia="Times New Roman" w:hAnsi="Times New Roman" w:cs="Times New Roman"/>
                <w:sz w:val="24"/>
                <w:szCs w:val="24"/>
              </w:rPr>
              <w:t>9</w:t>
            </w:r>
            <w:r w:rsidRPr="004B0DA6">
              <w:rPr>
                <w:rFonts w:ascii="Times New Roman" w:eastAsia="Times New Roman" w:hAnsi="Times New Roman" w:cs="Times New Roman"/>
                <w:sz w:val="24"/>
                <w:szCs w:val="24"/>
              </w:rPr>
              <w:t>-203</w:t>
            </w:r>
            <w:r w:rsidR="006E2F2F" w:rsidRPr="004B0DA6">
              <w:rPr>
                <w:rFonts w:ascii="Times New Roman" w:eastAsia="Times New Roman" w:hAnsi="Times New Roman" w:cs="Times New Roman"/>
                <w:sz w:val="24"/>
                <w:szCs w:val="24"/>
              </w:rPr>
              <w:t>3</w:t>
            </w:r>
          </w:p>
        </w:tc>
        <w:tc>
          <w:tcPr>
            <w:tcW w:w="3012" w:type="dxa"/>
            <w:tcBorders>
              <w:top w:val="nil"/>
              <w:left w:val="nil"/>
              <w:bottom w:val="nil"/>
              <w:right w:val="nil"/>
            </w:tcBorders>
            <w:shd w:val="clear" w:color="auto" w:fill="auto"/>
            <w:noWrap/>
            <w:hideMark/>
          </w:tcPr>
          <w:p w14:paraId="27B6ABE5"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50,000 </w:t>
            </w:r>
          </w:p>
        </w:tc>
        <w:tc>
          <w:tcPr>
            <w:tcW w:w="1675" w:type="dxa"/>
            <w:tcBorders>
              <w:top w:val="nil"/>
              <w:left w:val="nil"/>
              <w:bottom w:val="nil"/>
              <w:right w:val="nil"/>
            </w:tcBorders>
            <w:shd w:val="clear" w:color="auto" w:fill="auto"/>
          </w:tcPr>
          <w:p w14:paraId="25ED2551"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22,025 </w:t>
            </w:r>
          </w:p>
        </w:tc>
      </w:tr>
      <w:tr w:rsidR="0056179C" w:rsidRPr="004B0DA6" w14:paraId="021B4E42" w14:textId="77777777" w:rsidTr="00F9386B">
        <w:trPr>
          <w:trHeight w:val="315"/>
        </w:trPr>
        <w:tc>
          <w:tcPr>
            <w:tcW w:w="3012" w:type="dxa"/>
            <w:tcBorders>
              <w:top w:val="nil"/>
              <w:left w:val="nil"/>
              <w:bottom w:val="nil"/>
              <w:right w:val="nil"/>
            </w:tcBorders>
            <w:shd w:val="clear" w:color="auto" w:fill="auto"/>
            <w:noWrap/>
            <w:hideMark/>
          </w:tcPr>
          <w:p w14:paraId="1DFCE6BC" w14:textId="75359790"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203</w:t>
            </w:r>
            <w:r w:rsidR="006E2F2F" w:rsidRPr="004B0DA6">
              <w:rPr>
                <w:rFonts w:ascii="Times New Roman" w:eastAsia="Times New Roman" w:hAnsi="Times New Roman" w:cs="Times New Roman"/>
                <w:sz w:val="24"/>
                <w:szCs w:val="24"/>
              </w:rPr>
              <w:t>4</w:t>
            </w:r>
            <w:r w:rsidRPr="004B0DA6">
              <w:rPr>
                <w:rFonts w:ascii="Times New Roman" w:eastAsia="Times New Roman" w:hAnsi="Times New Roman" w:cs="Times New Roman"/>
                <w:sz w:val="24"/>
                <w:szCs w:val="24"/>
              </w:rPr>
              <w:t>-203</w:t>
            </w:r>
            <w:r w:rsidR="006E2F2F" w:rsidRPr="004B0DA6">
              <w:rPr>
                <w:rFonts w:ascii="Times New Roman" w:eastAsia="Times New Roman" w:hAnsi="Times New Roman" w:cs="Times New Roman"/>
                <w:sz w:val="24"/>
                <w:szCs w:val="24"/>
              </w:rPr>
              <w:t>8</w:t>
            </w:r>
          </w:p>
        </w:tc>
        <w:tc>
          <w:tcPr>
            <w:tcW w:w="3012" w:type="dxa"/>
            <w:tcBorders>
              <w:top w:val="nil"/>
              <w:left w:val="nil"/>
              <w:bottom w:val="nil"/>
              <w:right w:val="nil"/>
            </w:tcBorders>
            <w:shd w:val="clear" w:color="auto" w:fill="auto"/>
            <w:noWrap/>
            <w:hideMark/>
          </w:tcPr>
          <w:p w14:paraId="0A2C6A68"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50,000 </w:t>
            </w:r>
          </w:p>
        </w:tc>
        <w:tc>
          <w:tcPr>
            <w:tcW w:w="1675" w:type="dxa"/>
            <w:tcBorders>
              <w:top w:val="nil"/>
              <w:left w:val="nil"/>
              <w:bottom w:val="nil"/>
              <w:right w:val="nil"/>
            </w:tcBorders>
            <w:shd w:val="clear" w:color="auto" w:fill="auto"/>
          </w:tcPr>
          <w:p w14:paraId="64FABC6B"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18,750 </w:t>
            </w:r>
          </w:p>
        </w:tc>
      </w:tr>
      <w:tr w:rsidR="0056179C" w:rsidRPr="004B0DA6" w14:paraId="740831CC" w14:textId="77777777" w:rsidTr="00F9386B">
        <w:trPr>
          <w:trHeight w:val="315"/>
        </w:trPr>
        <w:tc>
          <w:tcPr>
            <w:tcW w:w="3012" w:type="dxa"/>
            <w:tcBorders>
              <w:top w:val="nil"/>
              <w:left w:val="nil"/>
              <w:bottom w:val="nil"/>
              <w:right w:val="nil"/>
            </w:tcBorders>
            <w:shd w:val="clear" w:color="auto" w:fill="auto"/>
            <w:noWrap/>
            <w:hideMark/>
          </w:tcPr>
          <w:p w14:paraId="6C95F757" w14:textId="58C7B099"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203</w:t>
            </w:r>
            <w:r w:rsidR="006E2F2F" w:rsidRPr="004B0DA6">
              <w:rPr>
                <w:rFonts w:ascii="Times New Roman" w:eastAsia="Times New Roman" w:hAnsi="Times New Roman" w:cs="Times New Roman"/>
                <w:sz w:val="24"/>
                <w:szCs w:val="24"/>
              </w:rPr>
              <w:t>9</w:t>
            </w:r>
            <w:r w:rsidRPr="004B0DA6">
              <w:rPr>
                <w:rFonts w:ascii="Times New Roman" w:eastAsia="Times New Roman" w:hAnsi="Times New Roman" w:cs="Times New Roman"/>
                <w:sz w:val="24"/>
                <w:szCs w:val="24"/>
              </w:rPr>
              <w:t>-204</w:t>
            </w:r>
            <w:r w:rsidR="006E2F2F" w:rsidRPr="004B0DA6">
              <w:rPr>
                <w:rFonts w:ascii="Times New Roman" w:eastAsia="Times New Roman" w:hAnsi="Times New Roman" w:cs="Times New Roman"/>
                <w:sz w:val="24"/>
                <w:szCs w:val="24"/>
              </w:rPr>
              <w:t>3</w:t>
            </w:r>
          </w:p>
        </w:tc>
        <w:tc>
          <w:tcPr>
            <w:tcW w:w="3012" w:type="dxa"/>
            <w:tcBorders>
              <w:top w:val="nil"/>
              <w:left w:val="nil"/>
              <w:bottom w:val="single" w:sz="4" w:space="0" w:color="auto"/>
              <w:right w:val="nil"/>
            </w:tcBorders>
            <w:shd w:val="clear" w:color="auto" w:fill="auto"/>
            <w:noWrap/>
            <w:hideMark/>
          </w:tcPr>
          <w:p w14:paraId="503EBBBE"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50,000 </w:t>
            </w:r>
          </w:p>
        </w:tc>
        <w:tc>
          <w:tcPr>
            <w:tcW w:w="1675" w:type="dxa"/>
            <w:tcBorders>
              <w:top w:val="nil"/>
              <w:left w:val="nil"/>
              <w:bottom w:val="single" w:sz="4" w:space="0" w:color="auto"/>
              <w:right w:val="nil"/>
            </w:tcBorders>
            <w:shd w:val="clear" w:color="auto" w:fill="auto"/>
          </w:tcPr>
          <w:p w14:paraId="11B5519A"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14,750 </w:t>
            </w:r>
          </w:p>
        </w:tc>
      </w:tr>
      <w:tr w:rsidR="0056179C" w:rsidRPr="004B0DA6" w14:paraId="11EA66B8" w14:textId="77777777" w:rsidTr="00F9386B">
        <w:trPr>
          <w:trHeight w:val="395"/>
        </w:trPr>
        <w:tc>
          <w:tcPr>
            <w:tcW w:w="3012" w:type="dxa"/>
            <w:tcBorders>
              <w:top w:val="nil"/>
              <w:left w:val="nil"/>
              <w:bottom w:val="nil"/>
              <w:right w:val="nil"/>
            </w:tcBorders>
            <w:shd w:val="clear" w:color="auto" w:fill="auto"/>
            <w:noWrap/>
            <w:hideMark/>
          </w:tcPr>
          <w:p w14:paraId="796B496E"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Total </w:t>
            </w:r>
          </w:p>
        </w:tc>
        <w:tc>
          <w:tcPr>
            <w:tcW w:w="3012" w:type="dxa"/>
            <w:tcBorders>
              <w:top w:val="single" w:sz="4" w:space="0" w:color="auto"/>
              <w:left w:val="nil"/>
              <w:bottom w:val="double" w:sz="4" w:space="0" w:color="auto"/>
              <w:right w:val="nil"/>
            </w:tcBorders>
            <w:shd w:val="clear" w:color="auto" w:fill="auto"/>
            <w:noWrap/>
            <w:hideMark/>
          </w:tcPr>
          <w:p w14:paraId="23ECF793"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         200,000 </w:t>
            </w:r>
          </w:p>
        </w:tc>
        <w:tc>
          <w:tcPr>
            <w:tcW w:w="1675" w:type="dxa"/>
            <w:tcBorders>
              <w:top w:val="single" w:sz="4" w:space="0" w:color="auto"/>
              <w:left w:val="nil"/>
              <w:bottom w:val="double" w:sz="4" w:space="0" w:color="auto"/>
              <w:right w:val="nil"/>
            </w:tcBorders>
            <w:shd w:val="clear" w:color="auto" w:fill="auto"/>
          </w:tcPr>
          <w:p w14:paraId="54E28A8F"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      89,400 </w:t>
            </w:r>
          </w:p>
        </w:tc>
      </w:tr>
    </w:tbl>
    <w:p w14:paraId="6873615B" w14:textId="77777777" w:rsidR="0056179C" w:rsidRPr="004B0DA6" w:rsidRDefault="0056179C" w:rsidP="00203597">
      <w:pPr>
        <w:pStyle w:val="BodyText2"/>
        <w:keepNext/>
        <w:rPr>
          <w:rFonts w:ascii="Times New Roman" w:hAnsi="Times New Roman" w:cs="Times New Roman"/>
        </w:rPr>
      </w:pPr>
    </w:p>
    <w:p w14:paraId="5101B04A" w14:textId="77777777" w:rsidR="00F0423E" w:rsidRPr="004B0DA6" w:rsidRDefault="00F0423E" w:rsidP="00203597">
      <w:pPr>
        <w:spacing w:after="0"/>
        <w:jc w:val="both"/>
        <w:rPr>
          <w:rFonts w:ascii="Times New Roman" w:hAnsi="Times New Roman" w:cs="Times New Roman"/>
          <w:sz w:val="24"/>
        </w:rPr>
      </w:pPr>
    </w:p>
    <w:p w14:paraId="74AC443B" w14:textId="0C34648A"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xml:space="preserve">c. </w:t>
      </w:r>
      <w:r w:rsidRPr="004B0DA6">
        <w:rPr>
          <w:rFonts w:ascii="Times New Roman" w:hAnsi="Times New Roman" w:cs="Times New Roman"/>
          <w:sz w:val="24"/>
          <w:u w:val="single"/>
        </w:rPr>
        <w:t>General Obligation Indebtedness</w:t>
      </w:r>
    </w:p>
    <w:p w14:paraId="7C657B43" w14:textId="77777777" w:rsidR="00F8523D" w:rsidRPr="004B0DA6" w:rsidRDefault="00F8523D" w:rsidP="00203597">
      <w:pPr>
        <w:spacing w:after="0"/>
        <w:jc w:val="both"/>
        <w:rPr>
          <w:rFonts w:ascii="Times New Roman" w:hAnsi="Times New Roman" w:cs="Times New Roman"/>
          <w:sz w:val="24"/>
        </w:rPr>
      </w:pPr>
    </w:p>
    <w:p w14:paraId="58CF883B" w14:textId="13212A11" w:rsidR="002B7CEA" w:rsidRPr="004B0DA6" w:rsidRDefault="0056179C" w:rsidP="007A4AD5">
      <w:pPr>
        <w:spacing w:after="0"/>
        <w:jc w:val="both"/>
        <w:rPr>
          <w:rFonts w:ascii="Times New Roman" w:hAnsi="Times New Roman" w:cs="Times New Roman"/>
          <w:sz w:val="24"/>
        </w:rPr>
      </w:pPr>
      <w:r w:rsidRPr="004B0DA6">
        <w:rPr>
          <w:rFonts w:ascii="Times New Roman" w:hAnsi="Times New Roman" w:cs="Times New Roman"/>
          <w:sz w:val="24"/>
        </w:rPr>
        <w:t xml:space="preserve">The City's general obligation bonds serviced by the governmental funds were issued for the acquisition of public safety equipment.  Those general obligation bonds issued to finance the construction of facilities utilized in the operations of the water and sewer system and which are being retired by its resources are reported as long-term debt in the Water and Sewer Fund.  All general obligation bonds are collateralized by the full faith, credit, and taxing power of the City.  Principal and interest requirements are appropriated when due. </w:t>
      </w:r>
    </w:p>
    <w:p w14:paraId="168F6D79" w14:textId="77777777" w:rsidR="002B7CEA" w:rsidRPr="004B0DA6" w:rsidRDefault="002B7CEA" w:rsidP="00203597">
      <w:pPr>
        <w:spacing w:after="0"/>
        <w:jc w:val="both"/>
        <w:rPr>
          <w:rFonts w:ascii="Times New Roman" w:hAnsi="Times New Roman" w:cs="Times New Roman"/>
          <w:sz w:val="24"/>
        </w:rPr>
      </w:pPr>
    </w:p>
    <w:p w14:paraId="3EDA52E9" w14:textId="7A579282" w:rsidR="0056179C" w:rsidRPr="004B0DA6" w:rsidRDefault="0056179C" w:rsidP="00203597">
      <w:pPr>
        <w:spacing w:after="0"/>
        <w:rPr>
          <w:rFonts w:ascii="Times New Roman" w:hAnsi="Times New Roman" w:cs="Times New Roman"/>
          <w:sz w:val="24"/>
        </w:rPr>
      </w:pPr>
      <w:r w:rsidRPr="004B0DA6">
        <w:rPr>
          <w:rFonts w:ascii="Times New Roman" w:hAnsi="Times New Roman" w:cs="Times New Roman"/>
          <w:sz w:val="24"/>
        </w:rPr>
        <w:t xml:space="preserve">Bonds payable at June 30, </w:t>
      </w:r>
      <w:r w:rsidR="00A85B23" w:rsidRPr="004B0DA6">
        <w:rPr>
          <w:rFonts w:ascii="Times New Roman" w:hAnsi="Times New Roman" w:cs="Times New Roman"/>
          <w:sz w:val="24"/>
        </w:rPr>
        <w:t>202</w:t>
      </w:r>
      <w:r w:rsidR="00712401" w:rsidRPr="004B0DA6">
        <w:rPr>
          <w:rFonts w:ascii="Times New Roman" w:hAnsi="Times New Roman" w:cs="Times New Roman"/>
          <w:sz w:val="24"/>
        </w:rPr>
        <w:t>4</w:t>
      </w:r>
      <w:r w:rsidRPr="004B0DA6">
        <w:rPr>
          <w:rFonts w:ascii="Times New Roman" w:hAnsi="Times New Roman" w:cs="Times New Roman"/>
          <w:sz w:val="24"/>
        </w:rPr>
        <w:t>, are comprised of the following individual issues:</w:t>
      </w:r>
    </w:p>
    <w:p w14:paraId="36F523CC" w14:textId="77777777" w:rsidR="00F8523D" w:rsidRPr="004B0DA6" w:rsidRDefault="00F8523D" w:rsidP="00203597">
      <w:pPr>
        <w:spacing w:after="0"/>
        <w:rPr>
          <w:rFonts w:ascii="Times New Roman" w:hAnsi="Times New Roman" w:cs="Times New Roman"/>
          <w:sz w:val="24"/>
          <w:szCs w:val="24"/>
          <w:u w:val="single"/>
        </w:rPr>
      </w:pPr>
    </w:p>
    <w:p w14:paraId="489FDB8E" w14:textId="5C36A217" w:rsidR="0056179C" w:rsidRPr="004B0DA6" w:rsidRDefault="0056179C" w:rsidP="00203597">
      <w:pPr>
        <w:spacing w:after="0"/>
        <w:rPr>
          <w:rFonts w:ascii="Times New Roman" w:hAnsi="Times New Roman" w:cs="Times New Roman"/>
          <w:sz w:val="24"/>
          <w:szCs w:val="24"/>
        </w:rPr>
      </w:pPr>
      <w:r w:rsidRPr="004B0DA6">
        <w:rPr>
          <w:rFonts w:ascii="Times New Roman" w:hAnsi="Times New Roman" w:cs="Times New Roman"/>
          <w:sz w:val="24"/>
          <w:szCs w:val="24"/>
          <w:u w:val="single"/>
        </w:rPr>
        <w:t>General Obligation Bonds</w:t>
      </w:r>
    </w:p>
    <w:p w14:paraId="2A0337A2" w14:textId="77777777" w:rsidR="00F8523D" w:rsidRPr="004B0DA6" w:rsidRDefault="00F8523D" w:rsidP="00203597">
      <w:pPr>
        <w:spacing w:after="0" w:line="240" w:lineRule="auto"/>
        <w:rPr>
          <w:rFonts w:ascii="Times New Roman" w:eastAsia="Times New Roman" w:hAnsi="Times New Roman" w:cs="Times New Roman"/>
          <w:sz w:val="24"/>
          <w:szCs w:val="24"/>
        </w:rPr>
      </w:pPr>
    </w:p>
    <w:p w14:paraId="76BAB5D8" w14:textId="756B21F9"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Serviced by the General Fund:</w:t>
      </w:r>
    </w:p>
    <w:tbl>
      <w:tblPr>
        <w:tblW w:w="8978" w:type="dxa"/>
        <w:tblLook w:val="0000" w:firstRow="0" w:lastRow="0" w:firstColumn="0" w:lastColumn="0" w:noHBand="0" w:noVBand="0"/>
      </w:tblPr>
      <w:tblGrid>
        <w:gridCol w:w="6727"/>
        <w:gridCol w:w="2251"/>
      </w:tblGrid>
      <w:tr w:rsidR="0056179C" w:rsidRPr="004B0DA6" w14:paraId="627F73D1" w14:textId="77777777" w:rsidTr="00F9386B">
        <w:trPr>
          <w:trHeight w:val="877"/>
        </w:trPr>
        <w:tc>
          <w:tcPr>
            <w:tcW w:w="6727" w:type="dxa"/>
          </w:tcPr>
          <w:p w14:paraId="5BFE8F94" w14:textId="77777777" w:rsidR="00F8523D" w:rsidRPr="004B0DA6" w:rsidRDefault="00F8523D" w:rsidP="00203597">
            <w:pPr>
              <w:spacing w:after="0" w:line="240" w:lineRule="auto"/>
              <w:rPr>
                <w:rFonts w:ascii="Times New Roman" w:eastAsia="Times New Roman" w:hAnsi="Times New Roman" w:cs="Times New Roman"/>
                <w:sz w:val="24"/>
                <w:szCs w:val="24"/>
              </w:rPr>
            </w:pPr>
          </w:p>
          <w:p w14:paraId="73DF1840" w14:textId="587A0429"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$100,000, 201</w:t>
            </w:r>
            <w:r w:rsidR="00F11EC9" w:rsidRPr="004B0DA6">
              <w:rPr>
                <w:rFonts w:ascii="Times New Roman" w:eastAsia="Times New Roman" w:hAnsi="Times New Roman" w:cs="Times New Roman"/>
                <w:sz w:val="24"/>
                <w:szCs w:val="24"/>
              </w:rPr>
              <w:t>9</w:t>
            </w:r>
            <w:r w:rsidRPr="004B0DA6">
              <w:rPr>
                <w:rFonts w:ascii="Times New Roman" w:eastAsia="Times New Roman" w:hAnsi="Times New Roman" w:cs="Times New Roman"/>
                <w:sz w:val="24"/>
                <w:szCs w:val="24"/>
              </w:rPr>
              <w:t xml:space="preserve"> Public Safety serial bonds due on January 1 and July 1 in installments of $5,000 plus interest through July 1, 202</w:t>
            </w:r>
            <w:r w:rsidR="00F11EC9" w:rsidRPr="004B0DA6">
              <w:rPr>
                <w:rFonts w:ascii="Times New Roman" w:eastAsia="Times New Roman" w:hAnsi="Times New Roman" w:cs="Times New Roman"/>
                <w:sz w:val="24"/>
                <w:szCs w:val="24"/>
              </w:rPr>
              <w:t>9</w:t>
            </w:r>
            <w:r w:rsidRPr="004B0DA6">
              <w:rPr>
                <w:rFonts w:ascii="Times New Roman" w:eastAsia="Times New Roman" w:hAnsi="Times New Roman" w:cs="Times New Roman"/>
                <w:sz w:val="24"/>
                <w:szCs w:val="24"/>
              </w:rPr>
              <w:t>; interest at 4.00 percent.</w:t>
            </w:r>
          </w:p>
        </w:tc>
        <w:tc>
          <w:tcPr>
            <w:tcW w:w="2251" w:type="dxa"/>
            <w:tcBorders>
              <w:bottom w:val="double" w:sz="4" w:space="0" w:color="auto"/>
            </w:tcBorders>
            <w:vAlign w:val="bottom"/>
          </w:tcPr>
          <w:p w14:paraId="50B247F5"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$ 60,000</w:t>
            </w:r>
          </w:p>
        </w:tc>
      </w:tr>
    </w:tbl>
    <w:p w14:paraId="677AF216" w14:textId="77777777" w:rsidR="007B7C90" w:rsidRPr="004B0DA6" w:rsidRDefault="007B7C90"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w:t>
      </w:r>
    </w:p>
    <w:p w14:paraId="0BD40FA8" w14:textId="77777777" w:rsidR="007B7C90" w:rsidRPr="004B0DA6" w:rsidRDefault="007B7C90" w:rsidP="00203597">
      <w:pPr>
        <w:spacing w:after="0" w:line="240" w:lineRule="auto"/>
        <w:rPr>
          <w:rFonts w:ascii="Times New Roman" w:eastAsia="Times New Roman" w:hAnsi="Times New Roman" w:cs="Times New Roman"/>
          <w:sz w:val="24"/>
          <w:szCs w:val="24"/>
        </w:rPr>
      </w:pPr>
    </w:p>
    <w:p w14:paraId="48CE7E7B" w14:textId="5091FE42"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lastRenderedPageBreak/>
        <w:t>Serviced by the Water and Sewer Fund:</w:t>
      </w:r>
    </w:p>
    <w:tbl>
      <w:tblPr>
        <w:tblW w:w="9234" w:type="dxa"/>
        <w:tblLook w:val="0000" w:firstRow="0" w:lastRow="0" w:firstColumn="0" w:lastColumn="0" w:noHBand="0" w:noVBand="0"/>
      </w:tblPr>
      <w:tblGrid>
        <w:gridCol w:w="6871"/>
        <w:gridCol w:w="2299"/>
        <w:gridCol w:w="64"/>
      </w:tblGrid>
      <w:tr w:rsidR="0056179C" w:rsidRPr="004B0DA6" w14:paraId="595A3E08" w14:textId="77777777" w:rsidTr="00204A10">
        <w:trPr>
          <w:gridAfter w:val="1"/>
          <w:wAfter w:w="64" w:type="dxa"/>
          <w:trHeight w:val="1172"/>
        </w:trPr>
        <w:tc>
          <w:tcPr>
            <w:tcW w:w="6871" w:type="dxa"/>
          </w:tcPr>
          <w:p w14:paraId="232E936F" w14:textId="77777777" w:rsidR="00F5402B" w:rsidRPr="004B0DA6" w:rsidRDefault="00F5402B" w:rsidP="00203597">
            <w:pPr>
              <w:spacing w:after="0" w:line="240" w:lineRule="auto"/>
              <w:rPr>
                <w:rFonts w:ascii="Times New Roman" w:eastAsia="Times New Roman" w:hAnsi="Times New Roman" w:cs="Times New Roman"/>
                <w:sz w:val="24"/>
                <w:szCs w:val="24"/>
              </w:rPr>
            </w:pPr>
          </w:p>
          <w:p w14:paraId="34D707B5" w14:textId="0C9C783F" w:rsidR="00F5402B"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$3,301,450, </w:t>
            </w:r>
            <w:r w:rsidR="00B330DC" w:rsidRPr="004B0DA6">
              <w:rPr>
                <w:rFonts w:ascii="Times New Roman" w:eastAsia="Times New Roman" w:hAnsi="Times New Roman" w:cs="Times New Roman"/>
                <w:sz w:val="24"/>
                <w:szCs w:val="24"/>
              </w:rPr>
              <w:t>201</w:t>
            </w:r>
            <w:r w:rsidR="00204A10" w:rsidRPr="004B0DA6">
              <w:rPr>
                <w:rFonts w:ascii="Times New Roman" w:eastAsia="Times New Roman" w:hAnsi="Times New Roman" w:cs="Times New Roman"/>
                <w:sz w:val="24"/>
                <w:szCs w:val="24"/>
              </w:rPr>
              <w:t>1</w:t>
            </w:r>
            <w:r w:rsidRPr="004B0DA6">
              <w:rPr>
                <w:rFonts w:ascii="Times New Roman" w:eastAsia="Times New Roman" w:hAnsi="Times New Roman" w:cs="Times New Roman"/>
                <w:sz w:val="24"/>
                <w:szCs w:val="24"/>
              </w:rPr>
              <w:t xml:space="preserve"> USDA-Water and Sewer serial bonds</w:t>
            </w:r>
            <w:r w:rsidR="00204A10" w:rsidRPr="004B0DA6">
              <w:rPr>
                <w:rFonts w:ascii="Times New Roman" w:eastAsia="Times New Roman" w:hAnsi="Times New Roman" w:cs="Times New Roman"/>
                <w:sz w:val="24"/>
                <w:szCs w:val="24"/>
              </w:rPr>
              <w:t>. A</w:t>
            </w:r>
            <w:r w:rsidRPr="004B0DA6">
              <w:rPr>
                <w:rFonts w:ascii="Times New Roman" w:eastAsia="Times New Roman" w:hAnsi="Times New Roman" w:cs="Times New Roman"/>
                <w:sz w:val="24"/>
                <w:szCs w:val="24"/>
              </w:rPr>
              <w:t xml:space="preserve">nnual installments of $109,725 plus interest </w:t>
            </w:r>
            <w:r w:rsidR="00204A10" w:rsidRPr="004B0DA6">
              <w:rPr>
                <w:rFonts w:ascii="Times New Roman" w:eastAsia="Times New Roman" w:hAnsi="Times New Roman" w:cs="Times New Roman"/>
                <w:sz w:val="24"/>
                <w:szCs w:val="24"/>
              </w:rPr>
              <w:t xml:space="preserve">were paid </w:t>
            </w:r>
            <w:r w:rsidRPr="004B0DA6">
              <w:rPr>
                <w:rFonts w:ascii="Times New Roman" w:eastAsia="Times New Roman" w:hAnsi="Times New Roman" w:cs="Times New Roman"/>
                <w:sz w:val="24"/>
                <w:szCs w:val="24"/>
              </w:rPr>
              <w:t>through January 1, 20</w:t>
            </w:r>
            <w:r w:rsidR="00B330DC" w:rsidRPr="004B0DA6">
              <w:rPr>
                <w:rFonts w:ascii="Times New Roman" w:eastAsia="Times New Roman" w:hAnsi="Times New Roman" w:cs="Times New Roman"/>
                <w:sz w:val="24"/>
                <w:szCs w:val="24"/>
              </w:rPr>
              <w:t>2</w:t>
            </w:r>
            <w:r w:rsidR="00204A10" w:rsidRPr="004B0DA6">
              <w:rPr>
                <w:rFonts w:ascii="Times New Roman" w:eastAsia="Times New Roman" w:hAnsi="Times New Roman" w:cs="Times New Roman"/>
                <w:sz w:val="24"/>
                <w:szCs w:val="24"/>
              </w:rPr>
              <w:t>1. The remainder of the loan requires annual installments of</w:t>
            </w:r>
            <w:r w:rsidRPr="004B0DA6">
              <w:rPr>
                <w:rFonts w:ascii="Times New Roman" w:eastAsia="Times New Roman" w:hAnsi="Times New Roman" w:cs="Times New Roman"/>
                <w:sz w:val="24"/>
                <w:szCs w:val="24"/>
              </w:rPr>
              <w:t xml:space="preserve"> $149,022 plus interest from January 1, 20</w:t>
            </w:r>
            <w:r w:rsidR="00B330DC" w:rsidRPr="004B0DA6">
              <w:rPr>
                <w:rFonts w:ascii="Times New Roman" w:eastAsia="Times New Roman" w:hAnsi="Times New Roman" w:cs="Times New Roman"/>
                <w:sz w:val="24"/>
                <w:szCs w:val="24"/>
              </w:rPr>
              <w:t>2</w:t>
            </w:r>
            <w:r w:rsidR="00204A10" w:rsidRPr="004B0DA6">
              <w:rPr>
                <w:rFonts w:ascii="Times New Roman" w:eastAsia="Times New Roman" w:hAnsi="Times New Roman" w:cs="Times New Roman"/>
                <w:sz w:val="24"/>
                <w:szCs w:val="24"/>
              </w:rPr>
              <w:t>2</w:t>
            </w:r>
            <w:r w:rsidRPr="004B0DA6">
              <w:rPr>
                <w:rFonts w:ascii="Times New Roman" w:eastAsia="Times New Roman" w:hAnsi="Times New Roman" w:cs="Times New Roman"/>
                <w:sz w:val="24"/>
                <w:szCs w:val="24"/>
              </w:rPr>
              <w:t>, through January 1, 20</w:t>
            </w:r>
            <w:r w:rsidR="00204A10" w:rsidRPr="004B0DA6">
              <w:rPr>
                <w:rFonts w:ascii="Times New Roman" w:eastAsia="Times New Roman" w:hAnsi="Times New Roman" w:cs="Times New Roman"/>
                <w:sz w:val="24"/>
                <w:szCs w:val="24"/>
              </w:rPr>
              <w:t>3</w:t>
            </w:r>
            <w:r w:rsidR="00203835" w:rsidRPr="004B0DA6">
              <w:rPr>
                <w:rFonts w:ascii="Times New Roman" w:eastAsia="Times New Roman" w:hAnsi="Times New Roman" w:cs="Times New Roman"/>
                <w:sz w:val="24"/>
                <w:szCs w:val="24"/>
              </w:rPr>
              <w:t>7</w:t>
            </w:r>
            <w:r w:rsidRPr="004B0DA6">
              <w:rPr>
                <w:rFonts w:ascii="Times New Roman" w:eastAsia="Times New Roman" w:hAnsi="Times New Roman" w:cs="Times New Roman"/>
                <w:sz w:val="24"/>
                <w:szCs w:val="24"/>
              </w:rPr>
              <w:t xml:space="preserve">; interest is at 3.5%. </w:t>
            </w:r>
          </w:p>
        </w:tc>
        <w:tc>
          <w:tcPr>
            <w:tcW w:w="2299" w:type="dxa"/>
            <w:vAlign w:val="bottom"/>
          </w:tcPr>
          <w:p w14:paraId="384F681F"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1,908,614</w:t>
            </w:r>
          </w:p>
        </w:tc>
      </w:tr>
      <w:tr w:rsidR="0056179C" w:rsidRPr="004B0DA6" w14:paraId="5FD90692" w14:textId="77777777" w:rsidTr="00204A10">
        <w:trPr>
          <w:trHeight w:val="668"/>
        </w:trPr>
        <w:tc>
          <w:tcPr>
            <w:tcW w:w="6871" w:type="dxa"/>
          </w:tcPr>
          <w:p w14:paraId="157534B8" w14:textId="77777777" w:rsidR="00F5402B" w:rsidRPr="004B0DA6" w:rsidRDefault="00F5402B" w:rsidP="00203597">
            <w:pPr>
              <w:spacing w:after="0" w:line="240" w:lineRule="auto"/>
              <w:rPr>
                <w:rFonts w:ascii="Times New Roman" w:eastAsia="Times New Roman" w:hAnsi="Times New Roman" w:cs="Times New Roman"/>
                <w:sz w:val="24"/>
                <w:szCs w:val="24"/>
              </w:rPr>
            </w:pPr>
          </w:p>
          <w:p w14:paraId="760AB1C3" w14:textId="23CACE74"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$1,350,000, 2020 Water and Sewer Refunding bonds </w:t>
            </w:r>
            <w:r w:rsidR="003D703D" w:rsidRPr="004B0DA6">
              <w:rPr>
                <w:rFonts w:ascii="Times New Roman" w:eastAsia="Times New Roman" w:hAnsi="Times New Roman" w:cs="Times New Roman"/>
                <w:sz w:val="24"/>
                <w:szCs w:val="24"/>
              </w:rPr>
              <w:t xml:space="preserve">interest </w:t>
            </w:r>
            <w:r w:rsidRPr="004B0DA6">
              <w:rPr>
                <w:rFonts w:ascii="Times New Roman" w:eastAsia="Times New Roman" w:hAnsi="Times New Roman" w:cs="Times New Roman"/>
                <w:sz w:val="24"/>
                <w:szCs w:val="24"/>
              </w:rPr>
              <w:t xml:space="preserve">due on June 30 and December 31 </w:t>
            </w:r>
            <w:r w:rsidR="003D703D" w:rsidRPr="004B0DA6">
              <w:rPr>
                <w:rFonts w:ascii="Times New Roman" w:eastAsia="Times New Roman" w:hAnsi="Times New Roman" w:cs="Times New Roman"/>
                <w:sz w:val="24"/>
                <w:szCs w:val="24"/>
              </w:rPr>
              <w:t xml:space="preserve">and principal due </w:t>
            </w:r>
            <w:r w:rsidRPr="004B0DA6">
              <w:rPr>
                <w:rFonts w:ascii="Times New Roman" w:eastAsia="Times New Roman" w:hAnsi="Times New Roman" w:cs="Times New Roman"/>
                <w:sz w:val="24"/>
                <w:szCs w:val="24"/>
              </w:rPr>
              <w:t xml:space="preserve">in </w:t>
            </w:r>
            <w:r w:rsidR="003D703D" w:rsidRPr="004B0DA6">
              <w:rPr>
                <w:rFonts w:ascii="Times New Roman" w:eastAsia="Times New Roman" w:hAnsi="Times New Roman" w:cs="Times New Roman"/>
                <w:sz w:val="24"/>
                <w:szCs w:val="24"/>
              </w:rPr>
              <w:t xml:space="preserve">annual </w:t>
            </w:r>
            <w:r w:rsidRPr="004B0DA6">
              <w:rPr>
                <w:rFonts w:ascii="Times New Roman" w:eastAsia="Times New Roman" w:hAnsi="Times New Roman" w:cs="Times New Roman"/>
                <w:sz w:val="24"/>
                <w:szCs w:val="24"/>
              </w:rPr>
              <w:t>installments of $150,000 through December 31, 20</w:t>
            </w:r>
            <w:r w:rsidR="003D703D" w:rsidRPr="004B0DA6">
              <w:rPr>
                <w:rFonts w:ascii="Times New Roman" w:eastAsia="Times New Roman" w:hAnsi="Times New Roman" w:cs="Times New Roman"/>
                <w:sz w:val="24"/>
                <w:szCs w:val="24"/>
              </w:rPr>
              <w:t>29</w:t>
            </w:r>
            <w:r w:rsidRPr="004B0DA6">
              <w:rPr>
                <w:rFonts w:ascii="Times New Roman" w:eastAsia="Times New Roman" w:hAnsi="Times New Roman" w:cs="Times New Roman"/>
                <w:sz w:val="24"/>
                <w:szCs w:val="24"/>
              </w:rPr>
              <w:t xml:space="preserve">; interest at 3.00 percent. </w:t>
            </w:r>
          </w:p>
        </w:tc>
        <w:tc>
          <w:tcPr>
            <w:tcW w:w="2363" w:type="dxa"/>
            <w:gridSpan w:val="2"/>
            <w:tcBorders>
              <w:bottom w:val="single" w:sz="4" w:space="0" w:color="auto"/>
            </w:tcBorders>
            <w:vAlign w:val="bottom"/>
          </w:tcPr>
          <w:p w14:paraId="13528585" w14:textId="641F4A6C"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1,050,000</w:t>
            </w:r>
          </w:p>
        </w:tc>
      </w:tr>
      <w:tr w:rsidR="0056179C" w:rsidRPr="004B0DA6" w14:paraId="3B1C4719" w14:textId="77777777" w:rsidTr="00204A10">
        <w:trPr>
          <w:trHeight w:val="219"/>
        </w:trPr>
        <w:tc>
          <w:tcPr>
            <w:tcW w:w="6871" w:type="dxa"/>
          </w:tcPr>
          <w:p w14:paraId="23DE0547" w14:textId="77777777" w:rsidR="0056179C" w:rsidRPr="004B0DA6" w:rsidRDefault="0056179C" w:rsidP="00203597">
            <w:pPr>
              <w:spacing w:after="0" w:line="240" w:lineRule="auto"/>
              <w:rPr>
                <w:rFonts w:ascii="Times New Roman" w:eastAsia="Times New Roman" w:hAnsi="Times New Roman" w:cs="Times New Roman"/>
                <w:sz w:val="24"/>
                <w:szCs w:val="24"/>
              </w:rPr>
            </w:pPr>
          </w:p>
        </w:tc>
        <w:tc>
          <w:tcPr>
            <w:tcW w:w="2363" w:type="dxa"/>
            <w:gridSpan w:val="2"/>
            <w:tcBorders>
              <w:top w:val="single" w:sz="4" w:space="0" w:color="auto"/>
              <w:bottom w:val="double" w:sz="4" w:space="0" w:color="auto"/>
            </w:tcBorders>
            <w:vAlign w:val="bottom"/>
          </w:tcPr>
          <w:p w14:paraId="177D4066" w14:textId="1F77006E"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w:t>
            </w:r>
            <w:r w:rsidR="00F5402B" w:rsidRPr="004B0DA6">
              <w:rPr>
                <w:rFonts w:ascii="Times New Roman" w:eastAsia="Times New Roman" w:hAnsi="Times New Roman" w:cs="Times New Roman"/>
                <w:sz w:val="24"/>
                <w:szCs w:val="24"/>
              </w:rPr>
              <w:t xml:space="preserve"> </w:t>
            </w:r>
            <w:r w:rsidRPr="004B0DA6">
              <w:rPr>
                <w:rFonts w:ascii="Times New Roman" w:eastAsia="Times New Roman" w:hAnsi="Times New Roman" w:cs="Times New Roman"/>
                <w:sz w:val="24"/>
                <w:szCs w:val="24"/>
              </w:rPr>
              <w:t>2,958,614</w:t>
            </w:r>
          </w:p>
        </w:tc>
      </w:tr>
    </w:tbl>
    <w:p w14:paraId="46E04CD8" w14:textId="335844B8" w:rsidR="0056179C" w:rsidRPr="004B0DA6" w:rsidRDefault="0056179C" w:rsidP="00203597">
      <w:pPr>
        <w:spacing w:after="0"/>
        <w:jc w:val="both"/>
        <w:rPr>
          <w:rFonts w:ascii="Times New Roman" w:hAnsi="Times New Roman" w:cs="Times New Roman"/>
          <w:sz w:val="24"/>
          <w:szCs w:val="24"/>
        </w:rPr>
      </w:pPr>
    </w:p>
    <w:p w14:paraId="5C5108A1" w14:textId="77777777" w:rsidR="00F5402B" w:rsidRPr="004B0DA6" w:rsidRDefault="00F5402B" w:rsidP="00203597">
      <w:pPr>
        <w:spacing w:after="0"/>
        <w:jc w:val="both"/>
        <w:rPr>
          <w:rFonts w:ascii="Times New Roman" w:hAnsi="Times New Roman" w:cs="Times New Roman"/>
          <w:sz w:val="24"/>
          <w:szCs w:val="24"/>
        </w:rPr>
      </w:pPr>
    </w:p>
    <w:p w14:paraId="2224D6D9" w14:textId="040FC663"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Annual debt service requirements to maturity for </w:t>
      </w:r>
      <w:r w:rsidR="00BA2015" w:rsidRPr="004B0DA6">
        <w:rPr>
          <w:rFonts w:ascii="Times New Roman" w:hAnsi="Times New Roman" w:cs="Times New Roman"/>
          <w:sz w:val="24"/>
          <w:szCs w:val="24"/>
        </w:rPr>
        <w:t xml:space="preserve">general </w:t>
      </w:r>
      <w:r w:rsidRPr="004B0DA6">
        <w:rPr>
          <w:rFonts w:ascii="Times New Roman" w:hAnsi="Times New Roman" w:cs="Times New Roman"/>
          <w:sz w:val="24"/>
          <w:szCs w:val="24"/>
        </w:rPr>
        <w:t>obligation</w:t>
      </w:r>
      <w:r w:rsidR="008E2CA2" w:rsidRPr="004B0DA6">
        <w:rPr>
          <w:rFonts w:ascii="Times New Roman" w:hAnsi="Times New Roman" w:cs="Times New Roman"/>
          <w:sz w:val="24"/>
          <w:szCs w:val="24"/>
        </w:rPr>
        <w:t xml:space="preserve"> bond</w:t>
      </w:r>
      <w:r w:rsidRPr="004B0DA6">
        <w:rPr>
          <w:rFonts w:ascii="Times New Roman" w:hAnsi="Times New Roman" w:cs="Times New Roman"/>
          <w:sz w:val="24"/>
          <w:szCs w:val="24"/>
        </w:rPr>
        <w:t>s are as follows:</w:t>
      </w:r>
    </w:p>
    <w:p w14:paraId="55EE6269" w14:textId="6C3A8094" w:rsidR="00DF6972" w:rsidRPr="004B0DA6" w:rsidRDefault="00234F1C" w:rsidP="00203597">
      <w:pPr>
        <w:spacing w:after="0"/>
        <w:rPr>
          <w:rFonts w:ascii="Times New Roman" w:hAnsi="Times New Roman" w:cs="Times New Roman"/>
          <w:sz w:val="24"/>
        </w:rPr>
      </w:pPr>
      <w:r>
        <w:rPr>
          <w:rFonts w:ascii="Times New Roman" w:hAnsi="Times New Roman" w:cs="Times New Roman"/>
          <w:noProof/>
        </w:rPr>
        <w:object w:dxaOrig="1440" w:dyaOrig="1440" w14:anchorId="5A1E99E4">
          <v:shape id="_x0000_s2105" type="#_x0000_t75" style="position:absolute;margin-left:4.05pt;margin-top:15.4pt;width:454.95pt;height:235.1pt;z-index:251696128">
            <v:imagedata r:id="rId81" o:title=""/>
            <w10:wrap type="topAndBottom"/>
          </v:shape>
          <o:OLEObject Type="Embed" ProgID="Excel.Sheet.8" ShapeID="_x0000_s2105" DrawAspect="Content" ObjectID="_1793012046" r:id="rId82"/>
        </w:object>
      </w:r>
    </w:p>
    <w:p w14:paraId="4AAFE042" w14:textId="77777777" w:rsidR="00DF6972" w:rsidRPr="004B0DA6" w:rsidRDefault="00DF6972" w:rsidP="00203597">
      <w:pPr>
        <w:spacing w:after="0"/>
        <w:rPr>
          <w:rFonts w:ascii="Times New Roman" w:hAnsi="Times New Roman" w:cs="Times New Roman"/>
          <w:sz w:val="24"/>
        </w:rPr>
      </w:pPr>
    </w:p>
    <w:p w14:paraId="4A98917D" w14:textId="69BDB578" w:rsidR="0056179C" w:rsidRPr="004B0DA6" w:rsidRDefault="0056179C" w:rsidP="00203597">
      <w:pPr>
        <w:spacing w:after="0"/>
        <w:rPr>
          <w:rFonts w:ascii="Times New Roman" w:hAnsi="Times New Roman" w:cs="Times New Roman"/>
          <w:sz w:val="24"/>
        </w:rPr>
      </w:pPr>
      <w:r w:rsidRPr="004B0DA6">
        <w:rPr>
          <w:rFonts w:ascii="Times New Roman" w:hAnsi="Times New Roman" w:cs="Times New Roman"/>
          <w:sz w:val="24"/>
        </w:rPr>
        <w:t xml:space="preserve">At June 30, </w:t>
      </w:r>
      <w:r w:rsidR="00A85B23" w:rsidRPr="004B0DA6">
        <w:rPr>
          <w:rFonts w:ascii="Times New Roman" w:hAnsi="Times New Roman" w:cs="Times New Roman"/>
          <w:sz w:val="24"/>
        </w:rPr>
        <w:t>202</w:t>
      </w:r>
      <w:r w:rsidR="00712401" w:rsidRPr="004B0DA6">
        <w:rPr>
          <w:rFonts w:ascii="Times New Roman" w:hAnsi="Times New Roman" w:cs="Times New Roman"/>
          <w:sz w:val="24"/>
        </w:rPr>
        <w:t>4</w:t>
      </w:r>
      <w:r w:rsidRPr="004B0DA6">
        <w:rPr>
          <w:rFonts w:ascii="Times New Roman" w:hAnsi="Times New Roman" w:cs="Times New Roman"/>
          <w:sz w:val="24"/>
        </w:rPr>
        <w:t>, the City of Dogwood had bonds authorized but unissued of $1,000,000 and a legal debt margin of $10,847,306.</w:t>
      </w:r>
    </w:p>
    <w:p w14:paraId="66AF1CC1" w14:textId="27DA8283" w:rsidR="00565FDD" w:rsidRPr="004B0DA6" w:rsidRDefault="00565FDD" w:rsidP="00203597">
      <w:pPr>
        <w:spacing w:after="0"/>
        <w:rPr>
          <w:rFonts w:ascii="Times New Roman" w:hAnsi="Times New Roman" w:cs="Times New Roman"/>
          <w:sz w:val="24"/>
          <w:u w:val="single"/>
        </w:rPr>
      </w:pPr>
    </w:p>
    <w:p w14:paraId="6766B632" w14:textId="77777777" w:rsidR="007B7C90" w:rsidRPr="004B0DA6" w:rsidRDefault="007B7C90" w:rsidP="00203597">
      <w:pPr>
        <w:spacing w:after="0"/>
        <w:rPr>
          <w:rFonts w:ascii="Times New Roman" w:hAnsi="Times New Roman" w:cs="Times New Roman"/>
          <w:sz w:val="24"/>
          <w:u w:val="single"/>
        </w:rPr>
      </w:pPr>
    </w:p>
    <w:p w14:paraId="24EF14E4" w14:textId="77777777" w:rsidR="007B7C90" w:rsidRPr="004B0DA6" w:rsidRDefault="007B7C90" w:rsidP="00203597">
      <w:pPr>
        <w:spacing w:after="0"/>
        <w:rPr>
          <w:rFonts w:ascii="Times New Roman" w:hAnsi="Times New Roman" w:cs="Times New Roman"/>
          <w:sz w:val="24"/>
          <w:u w:val="single"/>
        </w:rPr>
      </w:pPr>
    </w:p>
    <w:p w14:paraId="1448AAC5" w14:textId="77777777" w:rsidR="007B7C90" w:rsidRPr="004B0DA6" w:rsidRDefault="007B7C90" w:rsidP="00203597">
      <w:pPr>
        <w:spacing w:after="0"/>
        <w:rPr>
          <w:rFonts w:ascii="Times New Roman" w:hAnsi="Times New Roman" w:cs="Times New Roman"/>
          <w:sz w:val="24"/>
          <w:u w:val="single"/>
        </w:rPr>
      </w:pPr>
    </w:p>
    <w:p w14:paraId="521DA8C8" w14:textId="77777777" w:rsidR="007B7C90" w:rsidRPr="004B0DA6" w:rsidRDefault="007B7C90" w:rsidP="00203597">
      <w:pPr>
        <w:spacing w:after="0"/>
        <w:rPr>
          <w:rFonts w:ascii="Times New Roman" w:hAnsi="Times New Roman" w:cs="Times New Roman"/>
          <w:sz w:val="24"/>
          <w:u w:val="single"/>
        </w:rPr>
      </w:pPr>
    </w:p>
    <w:p w14:paraId="4634AB31" w14:textId="77777777" w:rsidR="007B7C90" w:rsidRPr="004B0DA6" w:rsidRDefault="007B7C90" w:rsidP="00203597">
      <w:pPr>
        <w:spacing w:after="0"/>
        <w:rPr>
          <w:rFonts w:ascii="Times New Roman" w:hAnsi="Times New Roman" w:cs="Times New Roman"/>
          <w:sz w:val="24"/>
          <w:u w:val="single"/>
        </w:rPr>
      </w:pPr>
    </w:p>
    <w:p w14:paraId="27E06D4F" w14:textId="77777777" w:rsidR="007B7C90" w:rsidRPr="004B0DA6" w:rsidRDefault="007B7C90" w:rsidP="00203597">
      <w:pPr>
        <w:spacing w:after="0"/>
        <w:rPr>
          <w:rFonts w:ascii="Times New Roman" w:hAnsi="Times New Roman" w:cs="Times New Roman"/>
          <w:sz w:val="24"/>
          <w:u w:val="single"/>
        </w:rPr>
      </w:pPr>
    </w:p>
    <w:p w14:paraId="29CBF530" w14:textId="77777777" w:rsidR="007B7C90" w:rsidRPr="004B0DA6" w:rsidRDefault="007B7C90" w:rsidP="00203597">
      <w:pPr>
        <w:spacing w:after="0"/>
        <w:rPr>
          <w:rFonts w:ascii="Times New Roman" w:hAnsi="Times New Roman" w:cs="Times New Roman"/>
          <w:sz w:val="24"/>
          <w:u w:val="single"/>
        </w:rPr>
      </w:pPr>
    </w:p>
    <w:p w14:paraId="0F3CFC06" w14:textId="77777777" w:rsidR="007B7C90" w:rsidRPr="004B0DA6" w:rsidRDefault="007B7C90" w:rsidP="00203597">
      <w:pPr>
        <w:spacing w:after="0"/>
        <w:rPr>
          <w:rFonts w:ascii="Times New Roman" w:hAnsi="Times New Roman" w:cs="Times New Roman"/>
          <w:sz w:val="24"/>
          <w:u w:val="single"/>
        </w:rPr>
      </w:pPr>
    </w:p>
    <w:p w14:paraId="1DCCE36F" w14:textId="77777777" w:rsidR="0056179C" w:rsidRPr="004B0DA6" w:rsidRDefault="0056179C" w:rsidP="00203597">
      <w:pPr>
        <w:spacing w:after="0"/>
        <w:rPr>
          <w:rFonts w:ascii="Times New Roman" w:hAnsi="Times New Roman" w:cs="Times New Roman"/>
          <w:sz w:val="24"/>
        </w:rPr>
      </w:pPr>
      <w:r w:rsidRPr="004B0DA6">
        <w:rPr>
          <w:rFonts w:ascii="Times New Roman" w:hAnsi="Times New Roman" w:cs="Times New Roman"/>
          <w:sz w:val="24"/>
        </w:rPr>
        <w:lastRenderedPageBreak/>
        <w:t xml:space="preserve">d. </w:t>
      </w:r>
      <w:r w:rsidRPr="004B0DA6">
        <w:rPr>
          <w:rFonts w:ascii="Times New Roman" w:hAnsi="Times New Roman" w:cs="Times New Roman"/>
          <w:sz w:val="24"/>
          <w:u w:val="single"/>
        </w:rPr>
        <w:t>Revenue Bond</w:t>
      </w:r>
    </w:p>
    <w:p w14:paraId="583DD604" w14:textId="77777777" w:rsidR="0056179C" w:rsidRPr="004B0DA6" w:rsidRDefault="0056179C" w:rsidP="00203597">
      <w:pPr>
        <w:spacing w:after="0"/>
        <w:rPr>
          <w:rFonts w:ascii="Times New Roman" w:hAnsi="Times New Roman" w:cs="Times New Roman"/>
          <w:sz w:val="24"/>
        </w:rPr>
      </w:pPr>
    </w:p>
    <w:tbl>
      <w:tblPr>
        <w:tblW w:w="0" w:type="auto"/>
        <w:tblLook w:val="0000" w:firstRow="0" w:lastRow="0" w:firstColumn="0" w:lastColumn="0" w:noHBand="0" w:noVBand="0"/>
      </w:tblPr>
      <w:tblGrid>
        <w:gridCol w:w="7056"/>
        <w:gridCol w:w="2304"/>
      </w:tblGrid>
      <w:tr w:rsidR="0056179C" w:rsidRPr="004B0DA6" w14:paraId="5603EC8B" w14:textId="77777777" w:rsidTr="00F9386B">
        <w:tc>
          <w:tcPr>
            <w:tcW w:w="8118" w:type="dxa"/>
          </w:tcPr>
          <w:p w14:paraId="5748363C" w14:textId="64641062"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$1,000,000 Water and Sewer Revenue Bonds, Series 20</w:t>
            </w:r>
            <w:r w:rsidR="000A5EB3" w:rsidRPr="004B0DA6">
              <w:rPr>
                <w:rFonts w:ascii="Times New Roman" w:eastAsia="Times New Roman" w:hAnsi="Times New Roman" w:cs="Times New Roman"/>
                <w:sz w:val="24"/>
                <w:szCs w:val="24"/>
              </w:rPr>
              <w:t>20</w:t>
            </w:r>
            <w:r w:rsidR="006D2E11" w:rsidRPr="004B0DA6">
              <w:rPr>
                <w:rFonts w:ascii="Times New Roman" w:eastAsia="Times New Roman" w:hAnsi="Times New Roman" w:cs="Times New Roman"/>
                <w:sz w:val="24"/>
                <w:szCs w:val="24"/>
              </w:rPr>
              <w:t xml:space="preserve"> </w:t>
            </w:r>
            <w:r w:rsidRPr="004B0DA6">
              <w:rPr>
                <w:rFonts w:ascii="Times New Roman" w:eastAsia="Times New Roman" w:hAnsi="Times New Roman" w:cs="Times New Roman"/>
                <w:sz w:val="24"/>
                <w:szCs w:val="24"/>
              </w:rPr>
              <w:t>issued for water and sewer system improvements. Principal installments are due annually on June 1 with semiannual interest payments due on December 1 and June 1, at an annual interest rate of 5.25%.</w:t>
            </w:r>
          </w:p>
        </w:tc>
        <w:tc>
          <w:tcPr>
            <w:tcW w:w="2538" w:type="dxa"/>
            <w:tcBorders>
              <w:bottom w:val="single" w:sz="4" w:space="0" w:color="auto"/>
            </w:tcBorders>
            <w:vAlign w:val="bottom"/>
          </w:tcPr>
          <w:p w14:paraId="08559363"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$906,923</w:t>
            </w:r>
          </w:p>
        </w:tc>
      </w:tr>
    </w:tbl>
    <w:p w14:paraId="7999889E" w14:textId="77777777" w:rsidR="00565FDD" w:rsidRPr="004B0DA6" w:rsidRDefault="00565FDD" w:rsidP="00203597">
      <w:pPr>
        <w:spacing w:after="0"/>
        <w:jc w:val="both"/>
        <w:rPr>
          <w:rFonts w:ascii="Times New Roman" w:hAnsi="Times New Roman" w:cs="Times New Roman"/>
          <w:sz w:val="24"/>
        </w:rPr>
      </w:pPr>
    </w:p>
    <w:p w14:paraId="7A714047" w14:textId="4F2FDBE2" w:rsidR="0056179C" w:rsidRPr="004B0DA6" w:rsidRDefault="00234F1C" w:rsidP="00203597">
      <w:pPr>
        <w:spacing w:after="0"/>
        <w:jc w:val="both"/>
        <w:rPr>
          <w:rFonts w:ascii="Times New Roman" w:hAnsi="Times New Roman" w:cs="Times New Roman"/>
          <w:sz w:val="24"/>
        </w:rPr>
      </w:pPr>
      <w:r>
        <w:rPr>
          <w:rFonts w:ascii="Times New Roman" w:hAnsi="Times New Roman" w:cs="Times New Roman"/>
          <w:noProof/>
          <w:sz w:val="24"/>
          <w:szCs w:val="24"/>
        </w:rPr>
        <w:object w:dxaOrig="1440" w:dyaOrig="1440" w14:anchorId="78E1A35B">
          <v:shape id="_x0000_s2098" type="#_x0000_t75" style="position:absolute;left:0;text-align:left;margin-left:-8.25pt;margin-top:28.1pt;width:351.7pt;height:219.15pt;z-index:251688960">
            <v:imagedata r:id="rId83" o:title=""/>
            <w10:wrap type="topAndBottom"/>
          </v:shape>
          <o:OLEObject Type="Embed" ProgID="Excel.Sheet.8" ShapeID="_x0000_s2098" DrawAspect="Content" ObjectID="_1793012047" r:id="rId84"/>
        </w:object>
      </w:r>
      <w:r w:rsidR="0056179C" w:rsidRPr="004B0DA6">
        <w:rPr>
          <w:rFonts w:ascii="Times New Roman" w:hAnsi="Times New Roman" w:cs="Times New Roman"/>
          <w:sz w:val="24"/>
        </w:rPr>
        <w:t>The future payments of the revenue bond are as follows:</w:t>
      </w:r>
    </w:p>
    <w:p w14:paraId="754032B5" w14:textId="46DE09EE" w:rsidR="0056179C" w:rsidRPr="004B0DA6" w:rsidRDefault="0056179C" w:rsidP="00203597">
      <w:pPr>
        <w:spacing w:after="0"/>
        <w:jc w:val="both"/>
        <w:rPr>
          <w:rFonts w:ascii="Times New Roman" w:hAnsi="Times New Roman" w:cs="Times New Roman"/>
          <w:sz w:val="24"/>
        </w:rPr>
      </w:pPr>
    </w:p>
    <w:p w14:paraId="3AE63C3F" w14:textId="28F30CF4" w:rsidR="0056179C" w:rsidRPr="004B0DA6" w:rsidRDefault="0056179C" w:rsidP="00BF6AC5">
      <w:pPr>
        <w:spacing w:after="0"/>
        <w:rPr>
          <w:rFonts w:ascii="Times New Roman" w:hAnsi="Times New Roman" w:cs="Times New Roman"/>
          <w:sz w:val="24"/>
        </w:rPr>
      </w:pPr>
      <w:r w:rsidRPr="004B0DA6">
        <w:rPr>
          <w:rFonts w:ascii="Times New Roman" w:hAnsi="Times New Roman" w:cs="Times New Roman"/>
          <w:sz w:val="24"/>
        </w:rPr>
        <w:t xml:space="preserve">The City </w:t>
      </w:r>
      <w:proofErr w:type="gramStart"/>
      <w:r w:rsidRPr="004B0DA6">
        <w:rPr>
          <w:rFonts w:ascii="Times New Roman" w:hAnsi="Times New Roman" w:cs="Times New Roman"/>
          <w:sz w:val="24"/>
        </w:rPr>
        <w:t>is in compliance with</w:t>
      </w:r>
      <w:proofErr w:type="gramEnd"/>
      <w:r w:rsidRPr="004B0DA6">
        <w:rPr>
          <w:rFonts w:ascii="Times New Roman" w:hAnsi="Times New Roman" w:cs="Times New Roman"/>
          <w:sz w:val="24"/>
        </w:rPr>
        <w:t xml:space="preserve"> the covenants as to rates, fees, rentals, and charges in Section 704 of the Bond Order, authorizing the issuance of the Water and Sewer Revenue Bonds, Series 202</w:t>
      </w:r>
      <w:r w:rsidR="001E243C" w:rsidRPr="004B0DA6">
        <w:rPr>
          <w:rFonts w:ascii="Times New Roman" w:hAnsi="Times New Roman" w:cs="Times New Roman"/>
          <w:sz w:val="24"/>
        </w:rPr>
        <w:t>0</w:t>
      </w:r>
      <w:r w:rsidRPr="004B0DA6">
        <w:rPr>
          <w:rFonts w:ascii="Times New Roman" w:hAnsi="Times New Roman" w:cs="Times New Roman"/>
          <w:sz w:val="24"/>
        </w:rPr>
        <w:t xml:space="preserve">.  Section 704(a) of the Bond Order requires the debt service coverage ratio to be no less than </w:t>
      </w:r>
      <w:r w:rsidR="00804ACC" w:rsidRPr="004B0DA6">
        <w:rPr>
          <w:rFonts w:ascii="Times New Roman" w:hAnsi="Times New Roman" w:cs="Times New Roman"/>
          <w:sz w:val="24"/>
          <w:highlight w:val="yellow"/>
        </w:rPr>
        <w:t>___</w:t>
      </w:r>
      <w:r w:rsidR="00804ACC" w:rsidRPr="004B0DA6">
        <w:rPr>
          <w:rFonts w:ascii="Times New Roman" w:hAnsi="Times New Roman" w:cs="Times New Roman"/>
          <w:sz w:val="24"/>
        </w:rPr>
        <w:t xml:space="preserve"> </w:t>
      </w:r>
      <w:r w:rsidRPr="004B0DA6">
        <w:rPr>
          <w:rFonts w:ascii="Times New Roman" w:hAnsi="Times New Roman" w:cs="Times New Roman"/>
          <w:sz w:val="24"/>
        </w:rPr>
        <w:t xml:space="preserve">%.  The debt service coverage ratio calculation for the year ended June 30, </w:t>
      </w:r>
      <w:r w:rsidR="004A768D" w:rsidRPr="004B0DA6">
        <w:rPr>
          <w:rFonts w:ascii="Times New Roman" w:hAnsi="Times New Roman" w:cs="Times New Roman"/>
          <w:sz w:val="24"/>
        </w:rPr>
        <w:t>202</w:t>
      </w:r>
      <w:r w:rsidR="00712401" w:rsidRPr="004B0DA6">
        <w:rPr>
          <w:rFonts w:ascii="Times New Roman" w:hAnsi="Times New Roman" w:cs="Times New Roman"/>
          <w:sz w:val="24"/>
        </w:rPr>
        <w:t>4</w:t>
      </w:r>
      <w:r w:rsidRPr="004B0DA6">
        <w:rPr>
          <w:rFonts w:ascii="Times New Roman" w:hAnsi="Times New Roman" w:cs="Times New Roman"/>
          <w:sz w:val="24"/>
        </w:rPr>
        <w:t>, is as follows:</w:t>
      </w:r>
    </w:p>
    <w:p w14:paraId="2DA20558" w14:textId="77777777" w:rsidR="0056179C" w:rsidRPr="004B0DA6" w:rsidRDefault="0056179C" w:rsidP="00203597">
      <w:pPr>
        <w:spacing w:after="0"/>
        <w:jc w:val="both"/>
        <w:rPr>
          <w:rFonts w:ascii="Times New Roman" w:hAnsi="Times New Roman" w:cs="Times New Roman"/>
          <w:sz w:val="24"/>
        </w:rPr>
      </w:pPr>
    </w:p>
    <w:tbl>
      <w:tblPr>
        <w:tblW w:w="0" w:type="auto"/>
        <w:tblInd w:w="1335" w:type="dxa"/>
        <w:tblLook w:val="0000" w:firstRow="0" w:lastRow="0" w:firstColumn="0" w:lastColumn="0" w:noHBand="0" w:noVBand="0"/>
      </w:tblPr>
      <w:tblGrid>
        <w:gridCol w:w="6411"/>
        <w:gridCol w:w="1614"/>
      </w:tblGrid>
      <w:tr w:rsidR="0056179C" w:rsidRPr="004B0DA6" w14:paraId="523E4E31" w14:textId="77777777" w:rsidTr="00F9386B">
        <w:tc>
          <w:tcPr>
            <w:tcW w:w="6498" w:type="dxa"/>
          </w:tcPr>
          <w:p w14:paraId="3BB3CD3F"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Operating revenues</w:t>
            </w:r>
          </w:p>
        </w:tc>
        <w:tc>
          <w:tcPr>
            <w:tcW w:w="1620" w:type="dxa"/>
          </w:tcPr>
          <w:p w14:paraId="7BD5C047"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$1,544,284</w:t>
            </w:r>
          </w:p>
        </w:tc>
      </w:tr>
      <w:tr w:rsidR="0056179C" w:rsidRPr="004B0DA6" w14:paraId="4EF23C93" w14:textId="77777777" w:rsidTr="00F9386B">
        <w:tc>
          <w:tcPr>
            <w:tcW w:w="6498" w:type="dxa"/>
          </w:tcPr>
          <w:p w14:paraId="3B4A84F1"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Operating expenses*</w:t>
            </w:r>
          </w:p>
        </w:tc>
        <w:tc>
          <w:tcPr>
            <w:tcW w:w="1620" w:type="dxa"/>
          </w:tcPr>
          <w:p w14:paraId="34DAF4E8" w14:textId="7F30C322" w:rsidR="0056179C" w:rsidRPr="004B0DA6" w:rsidRDefault="000838A4"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9</w:t>
            </w:r>
            <w:r w:rsidR="001E243C" w:rsidRPr="004B0DA6">
              <w:rPr>
                <w:rFonts w:ascii="Times New Roman" w:eastAsia="Times New Roman" w:hAnsi="Times New Roman" w:cs="Times New Roman"/>
                <w:sz w:val="24"/>
                <w:szCs w:val="24"/>
              </w:rPr>
              <w:t>16,</w:t>
            </w:r>
            <w:r w:rsidRPr="004B0DA6">
              <w:rPr>
                <w:rFonts w:ascii="Times New Roman" w:eastAsia="Times New Roman" w:hAnsi="Times New Roman" w:cs="Times New Roman"/>
                <w:sz w:val="24"/>
                <w:szCs w:val="24"/>
              </w:rPr>
              <w:t>343</w:t>
            </w:r>
          </w:p>
        </w:tc>
      </w:tr>
      <w:tr w:rsidR="0056179C" w:rsidRPr="004B0DA6" w14:paraId="240E8F34" w14:textId="77777777" w:rsidTr="00F9386B">
        <w:tc>
          <w:tcPr>
            <w:tcW w:w="6498" w:type="dxa"/>
          </w:tcPr>
          <w:p w14:paraId="3E0ABA81" w14:textId="146D39C5" w:rsidR="0056179C" w:rsidRPr="004B0DA6" w:rsidRDefault="0056179C" w:rsidP="00203597">
            <w:pPr>
              <w:tabs>
                <w:tab w:val="left" w:pos="3680"/>
              </w:tabs>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Operating income</w:t>
            </w:r>
            <w:r w:rsidR="001E243C" w:rsidRPr="004B0DA6">
              <w:rPr>
                <w:rFonts w:ascii="Times New Roman" w:eastAsia="Times New Roman" w:hAnsi="Times New Roman" w:cs="Times New Roman"/>
                <w:sz w:val="24"/>
                <w:szCs w:val="24"/>
              </w:rPr>
              <w:tab/>
            </w:r>
          </w:p>
        </w:tc>
        <w:tc>
          <w:tcPr>
            <w:tcW w:w="1620" w:type="dxa"/>
          </w:tcPr>
          <w:p w14:paraId="3CA1BE4E" w14:textId="640465CB" w:rsidR="0056179C" w:rsidRPr="004B0DA6" w:rsidRDefault="001E243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367,306</w:t>
            </w:r>
          </w:p>
        </w:tc>
      </w:tr>
      <w:tr w:rsidR="0056179C" w:rsidRPr="004B0DA6" w14:paraId="315021D8" w14:textId="77777777" w:rsidTr="00F9386B">
        <w:tc>
          <w:tcPr>
            <w:tcW w:w="6498" w:type="dxa"/>
          </w:tcPr>
          <w:p w14:paraId="5D9881B3"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Nonoperating revenues (expenses)**</w:t>
            </w:r>
          </w:p>
        </w:tc>
        <w:tc>
          <w:tcPr>
            <w:tcW w:w="1620" w:type="dxa"/>
            <w:tcBorders>
              <w:bottom w:val="single" w:sz="4" w:space="0" w:color="auto"/>
            </w:tcBorders>
          </w:tcPr>
          <w:p w14:paraId="3EB498A1" w14:textId="45805D42" w:rsidR="0056179C" w:rsidRPr="004B0DA6" w:rsidRDefault="001E243C" w:rsidP="00203597">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w:t>
            </w:r>
            <w:r w:rsidR="000838A4" w:rsidRPr="004B0DA6">
              <w:rPr>
                <w:rFonts w:ascii="Times New Roman" w:eastAsia="Times New Roman" w:hAnsi="Times New Roman" w:cs="Times New Roman"/>
                <w:sz w:val="24"/>
                <w:szCs w:val="24"/>
              </w:rPr>
              <w:t xml:space="preserve">     12</w:t>
            </w:r>
            <w:r w:rsidRPr="004B0DA6">
              <w:rPr>
                <w:rFonts w:ascii="Times New Roman" w:eastAsia="Times New Roman" w:hAnsi="Times New Roman" w:cs="Times New Roman"/>
                <w:sz w:val="24"/>
                <w:szCs w:val="24"/>
              </w:rPr>
              <w:t>,1</w:t>
            </w:r>
            <w:r w:rsidR="000838A4" w:rsidRPr="004B0DA6">
              <w:rPr>
                <w:rFonts w:ascii="Times New Roman" w:eastAsia="Times New Roman" w:hAnsi="Times New Roman" w:cs="Times New Roman"/>
                <w:sz w:val="24"/>
                <w:szCs w:val="24"/>
              </w:rPr>
              <w:t>6</w:t>
            </w:r>
            <w:r w:rsidR="00061EA6" w:rsidRPr="004B0DA6">
              <w:rPr>
                <w:rFonts w:ascii="Times New Roman" w:eastAsia="Times New Roman" w:hAnsi="Times New Roman" w:cs="Times New Roman"/>
                <w:sz w:val="24"/>
                <w:szCs w:val="24"/>
              </w:rPr>
              <w:t>7</w:t>
            </w:r>
          </w:p>
        </w:tc>
      </w:tr>
      <w:tr w:rsidR="0056179C" w:rsidRPr="004B0DA6" w14:paraId="09B6EAA3" w14:textId="77777777" w:rsidTr="00F9386B">
        <w:tc>
          <w:tcPr>
            <w:tcW w:w="6498" w:type="dxa"/>
          </w:tcPr>
          <w:p w14:paraId="6A2F2EA3"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Income available for debt service</w:t>
            </w:r>
          </w:p>
        </w:tc>
        <w:tc>
          <w:tcPr>
            <w:tcW w:w="1620" w:type="dxa"/>
            <w:tcBorders>
              <w:top w:val="single" w:sz="4" w:space="0" w:color="auto"/>
            </w:tcBorders>
          </w:tcPr>
          <w:p w14:paraId="2F1D14E2" w14:textId="68E3CF37" w:rsidR="0056179C" w:rsidRPr="004B0DA6" w:rsidRDefault="000838A4"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3</w:t>
            </w:r>
            <w:r w:rsidR="00DA67E7" w:rsidRPr="004B0DA6">
              <w:rPr>
                <w:rFonts w:ascii="Times New Roman" w:eastAsia="Times New Roman" w:hAnsi="Times New Roman" w:cs="Times New Roman"/>
                <w:sz w:val="24"/>
                <w:szCs w:val="24"/>
              </w:rPr>
              <w:t>79</w:t>
            </w:r>
            <w:r w:rsidR="0056179C" w:rsidRPr="004B0DA6">
              <w:rPr>
                <w:rFonts w:ascii="Times New Roman" w:eastAsia="Times New Roman" w:hAnsi="Times New Roman" w:cs="Times New Roman"/>
                <w:sz w:val="24"/>
                <w:szCs w:val="24"/>
              </w:rPr>
              <w:t>,</w:t>
            </w:r>
            <w:r w:rsidR="00DA67E7" w:rsidRPr="004B0DA6">
              <w:rPr>
                <w:rFonts w:ascii="Times New Roman" w:eastAsia="Times New Roman" w:hAnsi="Times New Roman" w:cs="Times New Roman"/>
                <w:sz w:val="24"/>
                <w:szCs w:val="24"/>
              </w:rPr>
              <w:t>473</w:t>
            </w:r>
          </w:p>
        </w:tc>
      </w:tr>
      <w:tr w:rsidR="0056179C" w:rsidRPr="004B0DA6" w14:paraId="755B1077" w14:textId="77777777" w:rsidTr="00F9386B">
        <w:tc>
          <w:tcPr>
            <w:tcW w:w="6498" w:type="dxa"/>
          </w:tcPr>
          <w:p w14:paraId="49541C19"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Debt service, principal and interest paid (Revenue bond only)</w:t>
            </w:r>
          </w:p>
        </w:tc>
        <w:tc>
          <w:tcPr>
            <w:tcW w:w="1620" w:type="dxa"/>
          </w:tcPr>
          <w:p w14:paraId="3AC6BD5B"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    75,952</w:t>
            </w:r>
          </w:p>
        </w:tc>
      </w:tr>
      <w:tr w:rsidR="0056179C" w:rsidRPr="004B0DA6" w14:paraId="2BE10F1A" w14:textId="77777777" w:rsidTr="00F9386B">
        <w:tc>
          <w:tcPr>
            <w:tcW w:w="6498" w:type="dxa"/>
          </w:tcPr>
          <w:p w14:paraId="41939F37"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Debt service coverage ratio</w:t>
            </w:r>
          </w:p>
        </w:tc>
        <w:tc>
          <w:tcPr>
            <w:tcW w:w="1620" w:type="dxa"/>
          </w:tcPr>
          <w:p w14:paraId="574FCFBB" w14:textId="10F2B4D1"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5</w:t>
            </w:r>
            <w:r w:rsidR="00DA67E7" w:rsidRPr="004B0DA6">
              <w:rPr>
                <w:rFonts w:ascii="Times New Roman" w:eastAsia="Times New Roman" w:hAnsi="Times New Roman" w:cs="Times New Roman"/>
                <w:sz w:val="24"/>
                <w:szCs w:val="24"/>
              </w:rPr>
              <w:t>0</w:t>
            </w:r>
            <w:r w:rsidRPr="004B0DA6">
              <w:rPr>
                <w:rFonts w:ascii="Times New Roman" w:eastAsia="Times New Roman" w:hAnsi="Times New Roman" w:cs="Times New Roman"/>
                <w:sz w:val="24"/>
                <w:szCs w:val="24"/>
              </w:rPr>
              <w:t>0%</w:t>
            </w:r>
          </w:p>
        </w:tc>
      </w:tr>
    </w:tbl>
    <w:p w14:paraId="740D2DF0" w14:textId="77777777" w:rsidR="0056179C" w:rsidRPr="004B0DA6" w:rsidRDefault="0056179C" w:rsidP="00203597">
      <w:pPr>
        <w:spacing w:after="0"/>
        <w:jc w:val="both"/>
        <w:rPr>
          <w:rFonts w:ascii="Times New Roman" w:hAnsi="Times New Roman" w:cs="Times New Roman"/>
          <w:sz w:val="24"/>
        </w:rPr>
      </w:pPr>
    </w:p>
    <w:p w14:paraId="68C098F1" w14:textId="73D2F6A7" w:rsidR="00DE5003"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Per rate covenants, this does not include the depreciation expense of $2</w:t>
      </w:r>
      <w:r w:rsidR="000838A4" w:rsidRPr="004B0DA6">
        <w:rPr>
          <w:rFonts w:ascii="Times New Roman" w:hAnsi="Times New Roman" w:cs="Times New Roman"/>
          <w:sz w:val="24"/>
        </w:rPr>
        <w:t>60</w:t>
      </w:r>
      <w:r w:rsidRPr="004B0DA6">
        <w:rPr>
          <w:rFonts w:ascii="Times New Roman" w:hAnsi="Times New Roman" w:cs="Times New Roman"/>
          <w:sz w:val="24"/>
        </w:rPr>
        <w:t>,</w:t>
      </w:r>
      <w:r w:rsidR="000838A4" w:rsidRPr="004B0DA6">
        <w:rPr>
          <w:rFonts w:ascii="Times New Roman" w:hAnsi="Times New Roman" w:cs="Times New Roman"/>
          <w:sz w:val="24"/>
        </w:rPr>
        <w:t>635</w:t>
      </w:r>
      <w:r w:rsidRPr="004B0DA6">
        <w:rPr>
          <w:rFonts w:ascii="Times New Roman" w:hAnsi="Times New Roman" w:cs="Times New Roman"/>
          <w:sz w:val="24"/>
        </w:rPr>
        <w:t>.</w:t>
      </w:r>
    </w:p>
    <w:p w14:paraId="27D3EF89" w14:textId="1F328057"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Per rate covenants, this does not include revenue bond interest paid of $49,326.</w:t>
      </w:r>
      <w:r w:rsidR="00524E19" w:rsidRPr="004B0DA6">
        <w:rPr>
          <w:rFonts w:ascii="Times New Roman" w:hAnsi="Times New Roman" w:cs="Times New Roman"/>
          <w:sz w:val="24"/>
        </w:rPr>
        <w:t xml:space="preserve">  </w:t>
      </w:r>
    </w:p>
    <w:p w14:paraId="08991345" w14:textId="77777777" w:rsidR="0056179C" w:rsidRPr="004B0DA6" w:rsidRDefault="0056179C" w:rsidP="00203597">
      <w:pPr>
        <w:spacing w:after="0"/>
        <w:jc w:val="both"/>
        <w:rPr>
          <w:rFonts w:ascii="Times New Roman" w:hAnsi="Times New Roman" w:cs="Times New Roman"/>
          <w:sz w:val="24"/>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036"/>
      </w:tblGrid>
      <w:tr w:rsidR="0056179C" w:rsidRPr="004B0DA6" w14:paraId="457CA6DB" w14:textId="77777777" w:rsidTr="00F9386B">
        <w:tc>
          <w:tcPr>
            <w:tcW w:w="9036" w:type="dxa"/>
          </w:tcPr>
          <w:p w14:paraId="4DF3F603" w14:textId="0D31772A" w:rsidR="0056179C" w:rsidRPr="004B0DA6" w:rsidRDefault="0056179C" w:rsidP="00203597">
            <w:pPr>
              <w:keepNext/>
              <w:spacing w:after="0"/>
              <w:jc w:val="both"/>
              <w:rPr>
                <w:rFonts w:ascii="Times New Roman" w:hAnsi="Times New Roman" w:cs="Times New Roman"/>
                <w:sz w:val="24"/>
                <w:szCs w:val="24"/>
              </w:rPr>
            </w:pPr>
            <w:r w:rsidRPr="004B0DA6">
              <w:rPr>
                <w:rFonts w:ascii="Times New Roman" w:hAnsi="Times New Roman" w:cs="Times New Roman"/>
                <w:b/>
                <w:bCs/>
                <w:sz w:val="24"/>
                <w:szCs w:val="24"/>
              </w:rPr>
              <w:lastRenderedPageBreak/>
              <w:t>Note to preparer</w:t>
            </w:r>
            <w:r w:rsidRPr="004B0DA6">
              <w:rPr>
                <w:rFonts w:ascii="Times New Roman" w:hAnsi="Times New Roman" w:cs="Times New Roman"/>
                <w:sz w:val="24"/>
                <w:szCs w:val="24"/>
              </w:rPr>
              <w:t>:  The auditor working with a local government unit that has outstanding bonds should include in the notes to the audited financial statements, whether required by the revenue bond documents or not, a calculation demonstrating compliance with the revenue bond rate covenant.  Additionally, the auditor should be aware that any other bond compliance statements or additional reports required in the authorizing bond documents need to be submitted to the LGC simultaneously with the local governments audited financial statements, unless otherwise specified in the bond documents.</w:t>
            </w:r>
          </w:p>
          <w:p w14:paraId="2331B86B" w14:textId="77777777" w:rsidR="0056179C" w:rsidRPr="004B0DA6" w:rsidRDefault="0056179C" w:rsidP="00203597">
            <w:pPr>
              <w:keepNext/>
              <w:spacing w:after="0"/>
              <w:jc w:val="both"/>
              <w:rPr>
                <w:rFonts w:ascii="Times New Roman" w:hAnsi="Times New Roman" w:cs="Times New Roman"/>
              </w:rPr>
            </w:pPr>
            <w:r w:rsidRPr="004B0DA6">
              <w:rPr>
                <w:rFonts w:ascii="Times New Roman" w:hAnsi="Times New Roman" w:cs="Times New Roman"/>
                <w:sz w:val="24"/>
                <w:szCs w:val="24"/>
              </w:rPr>
              <w:t>Revenue bond rate covenants are subject to variability. The above calculation is presented for illustrative purposes only. Consult a copy of the bond order or other documents for the exact covenants and the additional reporting requirements.</w:t>
            </w:r>
          </w:p>
        </w:tc>
      </w:tr>
    </w:tbl>
    <w:p w14:paraId="2F81E6BF" w14:textId="77777777" w:rsidR="0056179C" w:rsidRPr="004B0DA6" w:rsidRDefault="0056179C" w:rsidP="00203597">
      <w:pPr>
        <w:spacing w:after="0"/>
        <w:jc w:val="both"/>
        <w:rPr>
          <w:rFonts w:ascii="Times New Roman" w:hAnsi="Times New Roman" w:cs="Times New Roman"/>
          <w:sz w:val="24"/>
        </w:rPr>
      </w:pPr>
    </w:p>
    <w:p w14:paraId="6F89067F" w14:textId="11569D91"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The City has pledged future water and sewer customer revenues, net of specified operating expenses, to repay $1 million in water and sewer system revenue bonds issued in December 202</w:t>
      </w:r>
      <w:r w:rsidR="00BE50DA" w:rsidRPr="004B0DA6">
        <w:rPr>
          <w:rFonts w:ascii="Times New Roman" w:hAnsi="Times New Roman" w:cs="Times New Roman"/>
          <w:sz w:val="24"/>
        </w:rPr>
        <w:t>0</w:t>
      </w:r>
      <w:r w:rsidRPr="004B0DA6">
        <w:rPr>
          <w:rFonts w:ascii="Times New Roman" w:hAnsi="Times New Roman" w:cs="Times New Roman"/>
          <w:sz w:val="24"/>
        </w:rPr>
        <w:t>. Proceeds from the bonds provided financing for the extension to the second water and sewer plant on Cardinal Lane.  The bonds are payable solely from water and sewer customer net revenues and are payable through 204</w:t>
      </w:r>
      <w:r w:rsidR="00BE50DA" w:rsidRPr="004B0DA6">
        <w:rPr>
          <w:rFonts w:ascii="Times New Roman" w:hAnsi="Times New Roman" w:cs="Times New Roman"/>
          <w:sz w:val="24"/>
        </w:rPr>
        <w:t>3</w:t>
      </w:r>
      <w:r w:rsidRPr="004B0DA6">
        <w:rPr>
          <w:rFonts w:ascii="Times New Roman" w:hAnsi="Times New Roman" w:cs="Times New Roman"/>
          <w:sz w:val="24"/>
        </w:rPr>
        <w:t xml:space="preserve">.  Annual principal and interest payments on the bonds are expected to require less than 6% of </w:t>
      </w:r>
      <w:r w:rsidR="007B0DDF" w:rsidRPr="004B0DA6">
        <w:rPr>
          <w:rFonts w:ascii="Times New Roman" w:hAnsi="Times New Roman" w:cs="Times New Roman"/>
          <w:sz w:val="24"/>
        </w:rPr>
        <w:t>operating</w:t>
      </w:r>
      <w:r w:rsidRPr="004B0DA6">
        <w:rPr>
          <w:rFonts w:ascii="Times New Roman" w:hAnsi="Times New Roman" w:cs="Times New Roman"/>
          <w:sz w:val="24"/>
        </w:rPr>
        <w:t xml:space="preserve"> revenues.  The total principal and interest remaining to be paid on the bonds is $1,393,190.  Principal and interest paid for the current year and total customer</w:t>
      </w:r>
      <w:r w:rsidR="007B0DDF" w:rsidRPr="004B0DA6">
        <w:rPr>
          <w:rFonts w:ascii="Times New Roman" w:hAnsi="Times New Roman" w:cs="Times New Roman"/>
          <w:sz w:val="24"/>
        </w:rPr>
        <w:t xml:space="preserve"> operating</w:t>
      </w:r>
      <w:r w:rsidRPr="004B0DA6">
        <w:rPr>
          <w:rFonts w:ascii="Times New Roman" w:hAnsi="Times New Roman" w:cs="Times New Roman"/>
          <w:sz w:val="24"/>
        </w:rPr>
        <w:t xml:space="preserve"> revenues were $7</w:t>
      </w:r>
      <w:r w:rsidR="007C6BB9" w:rsidRPr="004B0DA6">
        <w:rPr>
          <w:rFonts w:ascii="Times New Roman" w:hAnsi="Times New Roman" w:cs="Times New Roman"/>
          <w:sz w:val="24"/>
        </w:rPr>
        <w:t>5</w:t>
      </w:r>
      <w:r w:rsidRPr="004B0DA6">
        <w:rPr>
          <w:rFonts w:ascii="Times New Roman" w:hAnsi="Times New Roman" w:cs="Times New Roman"/>
          <w:sz w:val="24"/>
        </w:rPr>
        <w:t>,</w:t>
      </w:r>
      <w:r w:rsidR="007C6BB9" w:rsidRPr="004B0DA6">
        <w:rPr>
          <w:rFonts w:ascii="Times New Roman" w:hAnsi="Times New Roman" w:cs="Times New Roman"/>
          <w:sz w:val="24"/>
        </w:rPr>
        <w:t>9</w:t>
      </w:r>
      <w:r w:rsidR="007B0DDF" w:rsidRPr="004B0DA6">
        <w:rPr>
          <w:rFonts w:ascii="Times New Roman" w:hAnsi="Times New Roman" w:cs="Times New Roman"/>
          <w:sz w:val="24"/>
        </w:rPr>
        <w:t>5</w:t>
      </w:r>
      <w:r w:rsidR="007C6BB9" w:rsidRPr="004B0DA6">
        <w:rPr>
          <w:rFonts w:ascii="Times New Roman" w:hAnsi="Times New Roman" w:cs="Times New Roman"/>
          <w:sz w:val="24"/>
        </w:rPr>
        <w:t>2</w:t>
      </w:r>
      <w:r w:rsidRPr="004B0DA6">
        <w:rPr>
          <w:rFonts w:ascii="Times New Roman" w:hAnsi="Times New Roman" w:cs="Times New Roman"/>
          <w:sz w:val="24"/>
        </w:rPr>
        <w:t xml:space="preserve"> and $</w:t>
      </w:r>
      <w:r w:rsidR="007B0DDF" w:rsidRPr="004B0DA6">
        <w:rPr>
          <w:rFonts w:ascii="Times New Roman" w:hAnsi="Times New Roman" w:cs="Times New Roman"/>
          <w:sz w:val="24"/>
        </w:rPr>
        <w:t>1,544</w:t>
      </w:r>
      <w:r w:rsidRPr="004B0DA6">
        <w:rPr>
          <w:rFonts w:ascii="Times New Roman" w:hAnsi="Times New Roman" w:cs="Times New Roman"/>
          <w:sz w:val="24"/>
        </w:rPr>
        <w:t>,</w:t>
      </w:r>
      <w:r w:rsidR="007B0DDF" w:rsidRPr="004B0DA6">
        <w:rPr>
          <w:rFonts w:ascii="Times New Roman" w:hAnsi="Times New Roman" w:cs="Times New Roman"/>
          <w:sz w:val="24"/>
        </w:rPr>
        <w:t>284,</w:t>
      </w:r>
      <w:r w:rsidRPr="004B0DA6">
        <w:rPr>
          <w:rFonts w:ascii="Times New Roman" w:hAnsi="Times New Roman" w:cs="Times New Roman"/>
          <w:sz w:val="24"/>
        </w:rPr>
        <w:t xml:space="preserve"> respectively.</w:t>
      </w:r>
    </w:p>
    <w:p w14:paraId="0BA0B39C" w14:textId="77777777" w:rsidR="00BF6AC5" w:rsidRPr="004B0DA6" w:rsidRDefault="00BF6AC5" w:rsidP="00203597">
      <w:pPr>
        <w:spacing w:after="0"/>
        <w:rPr>
          <w:rFonts w:ascii="Times New Roman" w:hAnsi="Times New Roman" w:cs="Times New Roman"/>
          <w:sz w:val="24"/>
        </w:rPr>
      </w:pPr>
    </w:p>
    <w:p w14:paraId="2986462C" w14:textId="4EAE3128" w:rsidR="008C2E32" w:rsidRPr="004B0DA6" w:rsidRDefault="008E5930" w:rsidP="00203597">
      <w:pPr>
        <w:spacing w:after="0"/>
        <w:rPr>
          <w:rFonts w:ascii="Times New Roman" w:hAnsi="Times New Roman" w:cs="Times New Roman"/>
          <w:sz w:val="24"/>
        </w:rPr>
      </w:pPr>
      <w:r w:rsidRPr="004B0DA6">
        <w:rPr>
          <w:rFonts w:ascii="Times New Roman" w:hAnsi="Times New Roman" w:cs="Times New Roman"/>
          <w:sz w:val="24"/>
        </w:rPr>
        <w:t>e</w:t>
      </w:r>
      <w:r w:rsidR="008C2E32" w:rsidRPr="004B0DA6">
        <w:rPr>
          <w:rFonts w:ascii="Times New Roman" w:hAnsi="Times New Roman" w:cs="Times New Roman"/>
          <w:sz w:val="24"/>
        </w:rPr>
        <w:t xml:space="preserve">. </w:t>
      </w:r>
      <w:r w:rsidR="008C2E32" w:rsidRPr="004B0DA6">
        <w:rPr>
          <w:rFonts w:ascii="Times New Roman" w:hAnsi="Times New Roman" w:cs="Times New Roman"/>
          <w:sz w:val="24"/>
          <w:u w:val="single"/>
        </w:rPr>
        <w:t>Subscriptions</w:t>
      </w:r>
    </w:p>
    <w:p w14:paraId="4F3FA97E" w14:textId="5E488034" w:rsidR="008C2E32" w:rsidRPr="004B0DA6" w:rsidRDefault="00F90302" w:rsidP="00203597">
      <w:pPr>
        <w:spacing w:after="0"/>
        <w:rPr>
          <w:rFonts w:ascii="Times New Roman" w:hAnsi="Times New Roman" w:cs="Times New Roman"/>
          <w:sz w:val="24"/>
        </w:rPr>
      </w:pPr>
      <w:r w:rsidRPr="004B0DA6">
        <w:rPr>
          <w:rFonts w:ascii="Times New Roman" w:hAnsi="Times New Roman" w:cs="Times New Roman"/>
          <w:sz w:val="24"/>
        </w:rPr>
        <w:t xml:space="preserve">For the year ended June 30, </w:t>
      </w:r>
      <w:r w:rsidR="004B0DA6" w:rsidRPr="004B0DA6">
        <w:rPr>
          <w:rFonts w:ascii="Times New Roman" w:hAnsi="Times New Roman" w:cs="Times New Roman"/>
          <w:sz w:val="24"/>
        </w:rPr>
        <w:t>2024,</w:t>
      </w:r>
      <w:r w:rsidRPr="004B0DA6">
        <w:rPr>
          <w:rFonts w:ascii="Times New Roman" w:hAnsi="Times New Roman" w:cs="Times New Roman"/>
          <w:sz w:val="24"/>
        </w:rPr>
        <w:t xml:space="preserve"> the City implemented the requirements of GASB Statement No. </w:t>
      </w:r>
      <w:r w:rsidR="00CE1DDF" w:rsidRPr="004B0DA6">
        <w:rPr>
          <w:rFonts w:ascii="Times New Roman" w:hAnsi="Times New Roman" w:cs="Times New Roman"/>
          <w:sz w:val="24"/>
        </w:rPr>
        <w:t>96, Subscription-Based Information Technology Arrangements (Subscriptions). The</w:t>
      </w:r>
      <w:r w:rsidR="0019295A" w:rsidRPr="004B0DA6">
        <w:rPr>
          <w:rFonts w:ascii="Times New Roman" w:hAnsi="Times New Roman" w:cs="Times New Roman"/>
          <w:sz w:val="24"/>
        </w:rPr>
        <w:t xml:space="preserve"> Statement provides a definition of Subscriptions and provides uniform guidance for accounting and financial reporting for such transactions. </w:t>
      </w:r>
      <w:r w:rsidR="00B2703A" w:rsidRPr="004B0DA6">
        <w:rPr>
          <w:rFonts w:ascii="Times New Roman" w:hAnsi="Times New Roman" w:cs="Times New Roman"/>
          <w:sz w:val="24"/>
        </w:rPr>
        <w:t>Th</w:t>
      </w:r>
      <w:r w:rsidR="0019295A" w:rsidRPr="004B0DA6">
        <w:rPr>
          <w:rFonts w:ascii="Times New Roman" w:hAnsi="Times New Roman" w:cs="Times New Roman"/>
          <w:sz w:val="24"/>
        </w:rPr>
        <w:t xml:space="preserve">e guidance will decrease diversity in the accounting and financial reporting for these transactions, thereby, increasing comparability in financial reporting among governments. Further, the reporting of a subscription </w:t>
      </w:r>
      <w:r w:rsidR="00FD771F" w:rsidRPr="004B0DA6">
        <w:rPr>
          <w:rFonts w:ascii="Times New Roman" w:hAnsi="Times New Roman" w:cs="Times New Roman"/>
          <w:sz w:val="24"/>
        </w:rPr>
        <w:t>asset (a right-to-use intangible</w:t>
      </w:r>
      <w:r w:rsidR="00B2703A" w:rsidRPr="004B0DA6">
        <w:rPr>
          <w:rFonts w:ascii="Times New Roman" w:hAnsi="Times New Roman" w:cs="Times New Roman"/>
          <w:sz w:val="24"/>
        </w:rPr>
        <w:t xml:space="preserve"> capital</w:t>
      </w:r>
      <w:r w:rsidR="00FD771F" w:rsidRPr="004B0DA6">
        <w:rPr>
          <w:rFonts w:ascii="Times New Roman" w:hAnsi="Times New Roman" w:cs="Times New Roman"/>
          <w:sz w:val="24"/>
        </w:rPr>
        <w:t xml:space="preserve"> asset) and a subscription liability will enhance the relevance and reliability of the financial statements. </w:t>
      </w:r>
    </w:p>
    <w:p w14:paraId="26311EB1" w14:textId="77777777" w:rsidR="00BF6AC5" w:rsidRPr="004B0DA6" w:rsidRDefault="00BF6AC5" w:rsidP="00203597">
      <w:pPr>
        <w:spacing w:after="0"/>
        <w:rPr>
          <w:rFonts w:ascii="Times New Roman" w:hAnsi="Times New Roman" w:cs="Times New Roman"/>
          <w:sz w:val="24"/>
        </w:rPr>
      </w:pPr>
    </w:p>
    <w:p w14:paraId="467952B6" w14:textId="5F70BE5D" w:rsidR="00FD771F" w:rsidRPr="004B0DA6" w:rsidRDefault="00B2703A" w:rsidP="00203597">
      <w:pPr>
        <w:spacing w:after="0"/>
        <w:rPr>
          <w:rFonts w:ascii="Times New Roman" w:hAnsi="Times New Roman" w:cs="Times New Roman"/>
          <w:sz w:val="24"/>
        </w:rPr>
      </w:pPr>
      <w:r w:rsidRPr="004B0DA6">
        <w:rPr>
          <w:rFonts w:ascii="Times New Roman" w:hAnsi="Times New Roman" w:cs="Times New Roman"/>
          <w:sz w:val="24"/>
        </w:rPr>
        <w:t>Subscriptions in affect at the end of the prior fiscal year had t</w:t>
      </w:r>
      <w:r w:rsidR="00FD771F" w:rsidRPr="004B0DA6">
        <w:rPr>
          <w:rFonts w:ascii="Times New Roman" w:hAnsi="Times New Roman" w:cs="Times New Roman"/>
          <w:sz w:val="24"/>
        </w:rPr>
        <w:t>he</w:t>
      </w:r>
      <w:r w:rsidRPr="004B0DA6">
        <w:rPr>
          <w:rFonts w:ascii="Times New Roman" w:hAnsi="Times New Roman" w:cs="Times New Roman"/>
          <w:sz w:val="24"/>
        </w:rPr>
        <w:t>ir</w:t>
      </w:r>
      <w:r w:rsidR="00FD771F" w:rsidRPr="004B0DA6">
        <w:rPr>
          <w:rFonts w:ascii="Times New Roman" w:hAnsi="Times New Roman" w:cs="Times New Roman"/>
          <w:sz w:val="24"/>
        </w:rPr>
        <w:t xml:space="preserve"> assets and liabilities</w:t>
      </w:r>
      <w:r w:rsidRPr="004B0DA6">
        <w:rPr>
          <w:rFonts w:ascii="Times New Roman" w:hAnsi="Times New Roman" w:cs="Times New Roman"/>
          <w:sz w:val="24"/>
        </w:rPr>
        <w:t xml:space="preserve"> </w:t>
      </w:r>
      <w:r w:rsidR="00FD771F" w:rsidRPr="004B0DA6">
        <w:rPr>
          <w:rFonts w:ascii="Times New Roman" w:hAnsi="Times New Roman" w:cs="Times New Roman"/>
          <w:sz w:val="24"/>
        </w:rPr>
        <w:t xml:space="preserve">initially measured at the present value of the subscription payments expected over the </w:t>
      </w:r>
      <w:r w:rsidRPr="004B0DA6">
        <w:rPr>
          <w:rFonts w:ascii="Times New Roman" w:hAnsi="Times New Roman" w:cs="Times New Roman"/>
          <w:sz w:val="24"/>
        </w:rPr>
        <w:t xml:space="preserve">remaining </w:t>
      </w:r>
      <w:r w:rsidR="00952CB7" w:rsidRPr="004B0DA6">
        <w:rPr>
          <w:rFonts w:ascii="Times New Roman" w:hAnsi="Times New Roman" w:cs="Times New Roman"/>
          <w:sz w:val="24"/>
        </w:rPr>
        <w:t>term</w:t>
      </w:r>
      <w:r w:rsidR="00FD771F" w:rsidRPr="004B0DA6">
        <w:rPr>
          <w:rFonts w:ascii="Times New Roman" w:hAnsi="Times New Roman" w:cs="Times New Roman"/>
          <w:sz w:val="24"/>
        </w:rPr>
        <w:t xml:space="preserve"> of the </w:t>
      </w:r>
      <w:r w:rsidR="00952CB7" w:rsidRPr="004B0DA6">
        <w:rPr>
          <w:rFonts w:ascii="Times New Roman" w:hAnsi="Times New Roman" w:cs="Times New Roman"/>
          <w:sz w:val="24"/>
        </w:rPr>
        <w:t>S</w:t>
      </w:r>
      <w:r w:rsidR="00FD771F" w:rsidRPr="004B0DA6">
        <w:rPr>
          <w:rFonts w:ascii="Times New Roman" w:hAnsi="Times New Roman" w:cs="Times New Roman"/>
          <w:sz w:val="24"/>
        </w:rPr>
        <w:t xml:space="preserve">ubscription </w:t>
      </w:r>
      <w:r w:rsidR="00952CB7" w:rsidRPr="004B0DA6">
        <w:rPr>
          <w:rFonts w:ascii="Times New Roman" w:hAnsi="Times New Roman" w:cs="Times New Roman"/>
          <w:sz w:val="24"/>
        </w:rPr>
        <w:t>after</w:t>
      </w:r>
      <w:r w:rsidR="002B0370" w:rsidRPr="004B0DA6">
        <w:rPr>
          <w:rFonts w:ascii="Times New Roman" w:hAnsi="Times New Roman" w:cs="Times New Roman"/>
          <w:sz w:val="24"/>
        </w:rPr>
        <w:t xml:space="preserve"> July 1, 2022. </w:t>
      </w:r>
      <w:r w:rsidR="00952CB7" w:rsidRPr="004B0DA6">
        <w:rPr>
          <w:rFonts w:ascii="Times New Roman" w:hAnsi="Times New Roman" w:cs="Times New Roman"/>
          <w:sz w:val="24"/>
        </w:rPr>
        <w:t>O</w:t>
      </w:r>
      <w:r w:rsidR="002B0370" w:rsidRPr="004B0DA6">
        <w:rPr>
          <w:rFonts w:ascii="Times New Roman" w:hAnsi="Times New Roman" w:cs="Times New Roman"/>
          <w:sz w:val="24"/>
        </w:rPr>
        <w:t>ne such agreement</w:t>
      </w:r>
      <w:r w:rsidR="00952CB7" w:rsidRPr="004B0DA6">
        <w:rPr>
          <w:rFonts w:ascii="Times New Roman" w:hAnsi="Times New Roman" w:cs="Times New Roman"/>
          <w:sz w:val="24"/>
        </w:rPr>
        <w:t xml:space="preserve"> was</w:t>
      </w:r>
      <w:r w:rsidR="002B0370" w:rsidRPr="004B0DA6">
        <w:rPr>
          <w:rFonts w:ascii="Times New Roman" w:hAnsi="Times New Roman" w:cs="Times New Roman"/>
          <w:sz w:val="24"/>
        </w:rPr>
        <w:t xml:space="preserve"> in place at June 30, 2022. The Subscription is for a Learning Management System</w:t>
      </w:r>
      <w:r w:rsidR="00C8376B" w:rsidRPr="004B0DA6">
        <w:rPr>
          <w:rFonts w:ascii="Times New Roman" w:hAnsi="Times New Roman" w:cs="Times New Roman"/>
          <w:sz w:val="24"/>
        </w:rPr>
        <w:t xml:space="preserve"> that aids the City in onboarding new employees and provides educational opportunities for employees to enhance their professional development. </w:t>
      </w:r>
      <w:r w:rsidR="002B0370" w:rsidRPr="004B0DA6">
        <w:rPr>
          <w:rFonts w:ascii="Times New Roman" w:hAnsi="Times New Roman" w:cs="Times New Roman"/>
          <w:sz w:val="24"/>
        </w:rPr>
        <w:t>The initial term of the agreement was three years</w:t>
      </w:r>
      <w:r w:rsidR="00EC65D8" w:rsidRPr="004B0DA6">
        <w:rPr>
          <w:rFonts w:ascii="Times New Roman" w:hAnsi="Times New Roman" w:cs="Times New Roman"/>
          <w:sz w:val="24"/>
        </w:rPr>
        <w:t xml:space="preserve">. </w:t>
      </w:r>
      <w:r w:rsidR="00C8376B" w:rsidRPr="004B0DA6">
        <w:rPr>
          <w:rFonts w:ascii="Times New Roman" w:hAnsi="Times New Roman" w:cs="Times New Roman"/>
          <w:sz w:val="24"/>
        </w:rPr>
        <w:t xml:space="preserve">The remaining term at June 30, </w:t>
      </w:r>
      <w:r w:rsidR="004B0DA6" w:rsidRPr="004B0DA6">
        <w:rPr>
          <w:rFonts w:ascii="Times New Roman" w:hAnsi="Times New Roman" w:cs="Times New Roman"/>
          <w:sz w:val="24"/>
        </w:rPr>
        <w:t>2024,</w:t>
      </w:r>
      <w:r w:rsidR="00C8376B" w:rsidRPr="004B0DA6">
        <w:rPr>
          <w:rFonts w:ascii="Times New Roman" w:hAnsi="Times New Roman" w:cs="Times New Roman"/>
          <w:sz w:val="24"/>
        </w:rPr>
        <w:t xml:space="preserve"> is eighteen months.</w:t>
      </w:r>
      <w:r w:rsidR="007D6CD0" w:rsidRPr="004B0DA6">
        <w:rPr>
          <w:rFonts w:ascii="Times New Roman" w:hAnsi="Times New Roman" w:cs="Times New Roman"/>
          <w:sz w:val="24"/>
        </w:rPr>
        <w:t xml:space="preserve"> The Subscription does not have a stated interest rate. Accordingly, the City’s estimated incremental borrowing rate of 1.25% was used to discount the subscription payments</w:t>
      </w:r>
      <w:r w:rsidR="00952CB7" w:rsidRPr="004B0DA6">
        <w:rPr>
          <w:rFonts w:ascii="Times New Roman" w:hAnsi="Times New Roman" w:cs="Times New Roman"/>
          <w:sz w:val="24"/>
        </w:rPr>
        <w:t>.</w:t>
      </w:r>
      <w:r w:rsidR="00C8376B" w:rsidRPr="004B0DA6">
        <w:rPr>
          <w:rFonts w:ascii="Times New Roman" w:hAnsi="Times New Roman" w:cs="Times New Roman"/>
          <w:sz w:val="24"/>
        </w:rPr>
        <w:t xml:space="preserve"> </w:t>
      </w:r>
      <w:r w:rsidR="00EC65D8" w:rsidRPr="004B0DA6">
        <w:rPr>
          <w:rFonts w:ascii="Times New Roman" w:hAnsi="Times New Roman" w:cs="Times New Roman"/>
          <w:sz w:val="24"/>
        </w:rPr>
        <w:t>As a result, the amount of $23,557 was added as a right-to-use subscription asset and a subscription liability as of July 1, 2022.</w:t>
      </w:r>
      <w:r w:rsidR="008E5930" w:rsidRPr="004B0DA6">
        <w:rPr>
          <w:rFonts w:ascii="Times New Roman" w:hAnsi="Times New Roman" w:cs="Times New Roman"/>
          <w:sz w:val="24"/>
        </w:rPr>
        <w:t xml:space="preserve"> This restatement had no effect on equity. The liability balance at June 30, </w:t>
      </w:r>
      <w:r w:rsidR="004B0DA6" w:rsidRPr="004B0DA6">
        <w:rPr>
          <w:rFonts w:ascii="Times New Roman" w:hAnsi="Times New Roman" w:cs="Times New Roman"/>
          <w:sz w:val="24"/>
        </w:rPr>
        <w:t>2024,</w:t>
      </w:r>
      <w:r w:rsidR="008E5930" w:rsidRPr="004B0DA6">
        <w:rPr>
          <w:rFonts w:ascii="Times New Roman" w:hAnsi="Times New Roman" w:cs="Times New Roman"/>
          <w:sz w:val="24"/>
        </w:rPr>
        <w:t xml:space="preserve"> was $11,852.</w:t>
      </w:r>
    </w:p>
    <w:p w14:paraId="043E9879" w14:textId="0581E8D8" w:rsidR="00952CB7" w:rsidRPr="004B0DA6" w:rsidRDefault="00DC6B1C" w:rsidP="00203597">
      <w:pPr>
        <w:spacing w:after="0"/>
        <w:rPr>
          <w:rFonts w:ascii="Times New Roman" w:hAnsi="Times New Roman" w:cs="Times New Roman"/>
          <w:sz w:val="24"/>
        </w:rPr>
      </w:pPr>
      <w:r w:rsidRPr="004B0DA6">
        <w:rPr>
          <w:rFonts w:ascii="Times New Roman" w:hAnsi="Times New Roman" w:cs="Times New Roman"/>
          <w:sz w:val="24"/>
        </w:rPr>
        <w:lastRenderedPageBreak/>
        <w:t>During the current year the City</w:t>
      </w:r>
      <w:r w:rsidR="004A5CB8" w:rsidRPr="004B0DA6">
        <w:rPr>
          <w:rFonts w:ascii="Times New Roman" w:hAnsi="Times New Roman" w:cs="Times New Roman"/>
          <w:sz w:val="24"/>
        </w:rPr>
        <w:t>’s Budget Department</w:t>
      </w:r>
      <w:r w:rsidRPr="004B0DA6">
        <w:rPr>
          <w:rFonts w:ascii="Times New Roman" w:hAnsi="Times New Roman" w:cs="Times New Roman"/>
          <w:sz w:val="24"/>
        </w:rPr>
        <w:t xml:space="preserve"> </w:t>
      </w:r>
      <w:proofErr w:type="gramStart"/>
      <w:r w:rsidRPr="004B0DA6">
        <w:rPr>
          <w:rFonts w:ascii="Times New Roman" w:hAnsi="Times New Roman" w:cs="Times New Roman"/>
          <w:sz w:val="24"/>
        </w:rPr>
        <w:t>entered into</w:t>
      </w:r>
      <w:proofErr w:type="gramEnd"/>
      <w:r w:rsidRPr="004B0DA6">
        <w:rPr>
          <w:rFonts w:ascii="Times New Roman" w:hAnsi="Times New Roman" w:cs="Times New Roman"/>
          <w:sz w:val="24"/>
        </w:rPr>
        <w:t xml:space="preserve"> a new </w:t>
      </w:r>
      <w:r w:rsidR="00F940D0" w:rsidRPr="004B0DA6">
        <w:rPr>
          <w:rFonts w:ascii="Times New Roman" w:hAnsi="Times New Roman" w:cs="Times New Roman"/>
          <w:sz w:val="24"/>
        </w:rPr>
        <w:t>S</w:t>
      </w:r>
      <w:r w:rsidRPr="004B0DA6">
        <w:rPr>
          <w:rFonts w:ascii="Times New Roman" w:hAnsi="Times New Roman" w:cs="Times New Roman"/>
          <w:sz w:val="24"/>
        </w:rPr>
        <w:t>ubscription</w:t>
      </w:r>
      <w:r w:rsidR="002F641C" w:rsidRPr="004B0DA6">
        <w:rPr>
          <w:rFonts w:ascii="Times New Roman" w:hAnsi="Times New Roman" w:cs="Times New Roman"/>
          <w:sz w:val="24"/>
        </w:rPr>
        <w:t xml:space="preserve"> for a web-based strategy and performance management solution which will allow the City to track its objectives, measures, initiatives, and action items across the entire organization.</w:t>
      </w:r>
      <w:r w:rsidR="003F68B9" w:rsidRPr="004B0DA6">
        <w:rPr>
          <w:rFonts w:ascii="Times New Roman" w:hAnsi="Times New Roman" w:cs="Times New Roman"/>
          <w:sz w:val="24"/>
        </w:rPr>
        <w:t xml:space="preserve"> The term of the agreement is five years. </w:t>
      </w:r>
      <w:r w:rsidR="00F940D0" w:rsidRPr="004B0DA6">
        <w:rPr>
          <w:rFonts w:ascii="Times New Roman" w:hAnsi="Times New Roman" w:cs="Times New Roman"/>
          <w:sz w:val="24"/>
        </w:rPr>
        <w:t>The Subscription does not have a stated interest rate. Accordingly, the City’s estimated incremental borrowing rate of 1.25% was used to discount the subscription payments.</w:t>
      </w:r>
      <w:r w:rsidR="00887279" w:rsidRPr="004B0DA6">
        <w:rPr>
          <w:rFonts w:ascii="Times New Roman" w:hAnsi="Times New Roman" w:cs="Times New Roman"/>
          <w:sz w:val="24"/>
        </w:rPr>
        <w:t xml:space="preserve"> The initial liability</w:t>
      </w:r>
      <w:r w:rsidR="008E5930" w:rsidRPr="004B0DA6">
        <w:rPr>
          <w:rFonts w:ascii="Times New Roman" w:hAnsi="Times New Roman" w:cs="Times New Roman"/>
          <w:sz w:val="24"/>
        </w:rPr>
        <w:t xml:space="preserve"> for the subscription</w:t>
      </w:r>
      <w:r w:rsidR="00887279" w:rsidRPr="004B0DA6">
        <w:rPr>
          <w:rFonts w:ascii="Times New Roman" w:hAnsi="Times New Roman" w:cs="Times New Roman"/>
          <w:sz w:val="24"/>
        </w:rPr>
        <w:t xml:space="preserve"> was </w:t>
      </w:r>
      <w:r w:rsidR="008E5930" w:rsidRPr="004B0DA6">
        <w:rPr>
          <w:rFonts w:ascii="Times New Roman" w:hAnsi="Times New Roman" w:cs="Times New Roman"/>
          <w:sz w:val="24"/>
        </w:rPr>
        <w:t xml:space="preserve">$48,781. The liability balance remaining at June 30, </w:t>
      </w:r>
      <w:r w:rsidR="004B0DA6" w:rsidRPr="004B0DA6">
        <w:rPr>
          <w:rFonts w:ascii="Times New Roman" w:hAnsi="Times New Roman" w:cs="Times New Roman"/>
          <w:sz w:val="24"/>
        </w:rPr>
        <w:t>2024,</w:t>
      </w:r>
      <w:r w:rsidR="008E5930" w:rsidRPr="004B0DA6">
        <w:rPr>
          <w:rFonts w:ascii="Times New Roman" w:hAnsi="Times New Roman" w:cs="Times New Roman"/>
          <w:sz w:val="24"/>
        </w:rPr>
        <w:t xml:space="preserve"> was $38,781.</w:t>
      </w:r>
    </w:p>
    <w:p w14:paraId="6FC4625D" w14:textId="77777777" w:rsidR="00BF6AC5" w:rsidRPr="004B0DA6" w:rsidRDefault="00BF6AC5" w:rsidP="00203597">
      <w:pPr>
        <w:spacing w:after="0"/>
        <w:jc w:val="both"/>
        <w:rPr>
          <w:rFonts w:ascii="Times New Roman" w:hAnsi="Times New Roman" w:cs="Times New Roman"/>
          <w:sz w:val="24"/>
        </w:rPr>
      </w:pPr>
    </w:p>
    <w:p w14:paraId="40DDD274" w14:textId="2D7F2F1C" w:rsidR="008E5930" w:rsidRPr="004B0DA6" w:rsidRDefault="008E5930" w:rsidP="00203597">
      <w:pPr>
        <w:spacing w:after="0"/>
        <w:jc w:val="both"/>
        <w:rPr>
          <w:rFonts w:ascii="Times New Roman" w:hAnsi="Times New Roman" w:cs="Times New Roman"/>
          <w:sz w:val="24"/>
        </w:rPr>
      </w:pPr>
      <w:r w:rsidRPr="004B0DA6">
        <w:rPr>
          <w:rFonts w:ascii="Times New Roman" w:hAnsi="Times New Roman" w:cs="Times New Roman"/>
          <w:sz w:val="24"/>
        </w:rPr>
        <w:t>The future minimum subscription obligations and the net present value of these minimum payments as of June 30, 202</w:t>
      </w:r>
      <w:r w:rsidR="00817D0A" w:rsidRPr="004B0DA6">
        <w:rPr>
          <w:rFonts w:ascii="Times New Roman" w:hAnsi="Times New Roman" w:cs="Times New Roman"/>
          <w:sz w:val="24"/>
        </w:rPr>
        <w:t>4</w:t>
      </w:r>
      <w:r w:rsidRPr="004B0DA6">
        <w:rPr>
          <w:rFonts w:ascii="Times New Roman" w:hAnsi="Times New Roman" w:cs="Times New Roman"/>
          <w:sz w:val="24"/>
        </w:rPr>
        <w:t>, were as follows:</w:t>
      </w:r>
    </w:p>
    <w:p w14:paraId="414EDA8B" w14:textId="77777777" w:rsidR="008E5930" w:rsidRPr="004B0DA6" w:rsidRDefault="008E5930" w:rsidP="00203597">
      <w:pPr>
        <w:spacing w:after="0"/>
        <w:jc w:val="center"/>
        <w:rPr>
          <w:rFonts w:ascii="Times New Roman" w:hAnsi="Times New Roman" w:cs="Times New Roman"/>
          <w:sz w:val="24"/>
        </w:rPr>
      </w:pPr>
    </w:p>
    <w:bookmarkStart w:id="59" w:name="_MON_1751314279"/>
    <w:bookmarkEnd w:id="59"/>
    <w:p w14:paraId="2112ED55" w14:textId="2799C6C3" w:rsidR="00D83ECF" w:rsidRPr="004B0DA6" w:rsidRDefault="00774BCE" w:rsidP="00BF6AC5">
      <w:pPr>
        <w:spacing w:after="0"/>
        <w:jc w:val="center"/>
        <w:rPr>
          <w:rFonts w:ascii="Times New Roman" w:hAnsi="Times New Roman" w:cs="Times New Roman"/>
          <w:sz w:val="24"/>
        </w:rPr>
      </w:pPr>
      <w:r w:rsidRPr="004B0DA6">
        <w:rPr>
          <w:rFonts w:ascii="Times New Roman" w:hAnsi="Times New Roman" w:cs="Times New Roman"/>
          <w:sz w:val="24"/>
        </w:rPr>
        <w:object w:dxaOrig="8006" w:dyaOrig="3049" w14:anchorId="3E45ADB5">
          <v:shape id="_x0000_i1052" type="#_x0000_t75" style="width:317.25pt;height:116.25pt" o:ole="">
            <v:imagedata r:id="rId85" o:title=""/>
          </v:shape>
          <o:OLEObject Type="Embed" ProgID="Excel.Sheet.12" ShapeID="_x0000_i1052" DrawAspect="Content" ObjectID="_1793012042" r:id="rId86"/>
        </w:object>
      </w:r>
    </w:p>
    <w:p w14:paraId="6CC83B29" w14:textId="1F3EC60D" w:rsidR="0056179C" w:rsidRPr="004B0DA6" w:rsidRDefault="0056179C" w:rsidP="00203597">
      <w:pPr>
        <w:spacing w:after="0"/>
        <w:rPr>
          <w:rFonts w:ascii="Times New Roman" w:hAnsi="Times New Roman" w:cs="Times New Roman"/>
          <w:sz w:val="24"/>
        </w:rPr>
      </w:pPr>
      <w:r w:rsidRPr="004B0DA6">
        <w:rPr>
          <w:rFonts w:ascii="Times New Roman" w:hAnsi="Times New Roman" w:cs="Times New Roman"/>
          <w:sz w:val="24"/>
        </w:rPr>
        <w:t xml:space="preserve">e. </w:t>
      </w:r>
      <w:r w:rsidRPr="004B0DA6">
        <w:rPr>
          <w:rFonts w:ascii="Times New Roman" w:hAnsi="Times New Roman" w:cs="Times New Roman"/>
          <w:sz w:val="24"/>
          <w:u w:val="single"/>
        </w:rPr>
        <w:t>Refunding</w:t>
      </w:r>
    </w:p>
    <w:p w14:paraId="589287A8" w14:textId="033F1D84"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On July 1, 20</w:t>
      </w:r>
      <w:r w:rsidR="00B47B0B" w:rsidRPr="004B0DA6">
        <w:rPr>
          <w:rFonts w:ascii="Times New Roman" w:hAnsi="Times New Roman" w:cs="Times New Roman"/>
          <w:sz w:val="24"/>
        </w:rPr>
        <w:t>20</w:t>
      </w:r>
      <w:r w:rsidRPr="004B0DA6">
        <w:rPr>
          <w:rFonts w:ascii="Times New Roman" w:hAnsi="Times New Roman" w:cs="Times New Roman"/>
          <w:sz w:val="24"/>
        </w:rPr>
        <w:t>, the City defeased certain general obligation bonds by placing the proceeds of new bonds in an irrevocable trust to provide for all future debt service payments on the old bonds.  Accordingly, the trust account assets and the liability for the defeased bonds are not included in the City’s financial statements.  On June 30, 202</w:t>
      </w:r>
      <w:r w:rsidR="00817D0A" w:rsidRPr="004B0DA6">
        <w:rPr>
          <w:rFonts w:ascii="Times New Roman" w:hAnsi="Times New Roman" w:cs="Times New Roman"/>
          <w:sz w:val="24"/>
        </w:rPr>
        <w:t>4</w:t>
      </w:r>
      <w:r w:rsidRPr="004B0DA6">
        <w:rPr>
          <w:rFonts w:ascii="Times New Roman" w:hAnsi="Times New Roman" w:cs="Times New Roman"/>
          <w:sz w:val="24"/>
        </w:rPr>
        <w:t>,</w:t>
      </w:r>
      <w:r w:rsidR="00B47B0B" w:rsidRPr="004B0DA6">
        <w:rPr>
          <w:rFonts w:ascii="Times New Roman" w:hAnsi="Times New Roman" w:cs="Times New Roman"/>
          <w:sz w:val="24"/>
        </w:rPr>
        <w:t xml:space="preserve"> there are</w:t>
      </w:r>
      <w:r w:rsidRPr="004B0DA6">
        <w:rPr>
          <w:rFonts w:ascii="Times New Roman" w:hAnsi="Times New Roman" w:cs="Times New Roman"/>
          <w:sz w:val="24"/>
        </w:rPr>
        <w:t xml:space="preserve"> $1,000,000 of bonds outstanding</w:t>
      </w:r>
      <w:r w:rsidR="00B47B0B" w:rsidRPr="004B0DA6">
        <w:rPr>
          <w:rFonts w:ascii="Times New Roman" w:hAnsi="Times New Roman" w:cs="Times New Roman"/>
          <w:sz w:val="24"/>
        </w:rPr>
        <w:t xml:space="preserve"> that</w:t>
      </w:r>
      <w:r w:rsidRPr="004B0DA6">
        <w:rPr>
          <w:rFonts w:ascii="Times New Roman" w:hAnsi="Times New Roman" w:cs="Times New Roman"/>
          <w:sz w:val="24"/>
        </w:rPr>
        <w:t xml:space="preserve"> </w:t>
      </w:r>
      <w:r w:rsidR="00B47B0B" w:rsidRPr="004B0DA6">
        <w:rPr>
          <w:rFonts w:ascii="Times New Roman" w:hAnsi="Times New Roman" w:cs="Times New Roman"/>
          <w:sz w:val="24"/>
        </w:rPr>
        <w:t>are</w:t>
      </w:r>
      <w:r w:rsidRPr="004B0DA6">
        <w:rPr>
          <w:rFonts w:ascii="Times New Roman" w:hAnsi="Times New Roman" w:cs="Times New Roman"/>
          <w:sz w:val="24"/>
        </w:rPr>
        <w:t xml:space="preserve"> considered defeased.  </w:t>
      </w:r>
    </w:p>
    <w:p w14:paraId="086B2A4D" w14:textId="77777777" w:rsidR="0056179C" w:rsidRPr="004B0DA6" w:rsidRDefault="0056179C" w:rsidP="00203597">
      <w:pPr>
        <w:spacing w:after="0"/>
        <w:jc w:val="both"/>
        <w:rPr>
          <w:rFonts w:ascii="Times New Roman" w:hAnsi="Times New Roman" w:cs="Times New Roman"/>
          <w:sz w:val="24"/>
        </w:rPr>
      </w:pPr>
    </w:p>
    <w:p w14:paraId="62123C9D" w14:textId="34508DD0" w:rsidR="00565FDD" w:rsidRPr="004B0DA6" w:rsidRDefault="0056179C" w:rsidP="00203597">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sz w:val="24"/>
        </w:rPr>
      </w:pPr>
      <w:r w:rsidRPr="004B0DA6">
        <w:rPr>
          <w:rFonts w:ascii="Times New Roman" w:hAnsi="Times New Roman" w:cs="Times New Roman"/>
          <w:b/>
          <w:sz w:val="24"/>
        </w:rPr>
        <w:t>Note to preparer</w:t>
      </w:r>
      <w:r w:rsidRPr="004B0DA6">
        <w:rPr>
          <w:rFonts w:ascii="Times New Roman" w:hAnsi="Times New Roman" w:cs="Times New Roman"/>
          <w:sz w:val="24"/>
        </w:rPr>
        <w:t>:  Dogwood assumes that the refunding transaction does not require any disclosures necessary to comply with GASB Statement No. 86.  Units are encouraged to review any refunding transactions to determine if additional disclosures are necessary.</w:t>
      </w:r>
    </w:p>
    <w:p w14:paraId="1B917491" w14:textId="77777777" w:rsidR="00BF6AC5" w:rsidRPr="004B0DA6" w:rsidRDefault="00BF6AC5" w:rsidP="00203597">
      <w:pPr>
        <w:keepNext/>
        <w:spacing w:after="0"/>
        <w:rPr>
          <w:rFonts w:ascii="Times New Roman" w:hAnsi="Times New Roman" w:cs="Times New Roman"/>
          <w:sz w:val="24"/>
        </w:rPr>
      </w:pPr>
    </w:p>
    <w:p w14:paraId="4F63267C" w14:textId="77777777" w:rsidR="00BF6AC5" w:rsidRPr="004B0DA6" w:rsidRDefault="00BF6AC5" w:rsidP="00203597">
      <w:pPr>
        <w:keepNext/>
        <w:spacing w:after="0"/>
        <w:rPr>
          <w:rFonts w:ascii="Times New Roman" w:hAnsi="Times New Roman" w:cs="Times New Roman"/>
          <w:sz w:val="24"/>
        </w:rPr>
      </w:pPr>
    </w:p>
    <w:p w14:paraId="02B4D80E" w14:textId="77777777" w:rsidR="00BF6AC5" w:rsidRPr="004B0DA6" w:rsidRDefault="00BF6AC5" w:rsidP="00203597">
      <w:pPr>
        <w:keepNext/>
        <w:spacing w:after="0"/>
        <w:rPr>
          <w:rFonts w:ascii="Times New Roman" w:hAnsi="Times New Roman" w:cs="Times New Roman"/>
          <w:sz w:val="24"/>
        </w:rPr>
      </w:pPr>
    </w:p>
    <w:p w14:paraId="6B0133D9" w14:textId="77777777" w:rsidR="00BF6AC5" w:rsidRPr="004B0DA6" w:rsidRDefault="00BF6AC5" w:rsidP="00203597">
      <w:pPr>
        <w:keepNext/>
        <w:spacing w:after="0"/>
        <w:rPr>
          <w:rFonts w:ascii="Times New Roman" w:hAnsi="Times New Roman" w:cs="Times New Roman"/>
          <w:sz w:val="24"/>
        </w:rPr>
      </w:pPr>
    </w:p>
    <w:p w14:paraId="305AC21A" w14:textId="77777777" w:rsidR="00BF6AC5" w:rsidRPr="004B0DA6" w:rsidRDefault="00BF6AC5" w:rsidP="00203597">
      <w:pPr>
        <w:keepNext/>
        <w:spacing w:after="0"/>
        <w:rPr>
          <w:rFonts w:ascii="Times New Roman" w:hAnsi="Times New Roman" w:cs="Times New Roman"/>
          <w:sz w:val="24"/>
        </w:rPr>
      </w:pPr>
    </w:p>
    <w:p w14:paraId="0232474D" w14:textId="77777777" w:rsidR="00BF6AC5" w:rsidRPr="004B0DA6" w:rsidRDefault="00BF6AC5">
      <w:pPr>
        <w:rPr>
          <w:rFonts w:ascii="Times New Roman" w:hAnsi="Times New Roman" w:cs="Times New Roman"/>
          <w:sz w:val="24"/>
        </w:rPr>
      </w:pPr>
      <w:r w:rsidRPr="004B0DA6">
        <w:rPr>
          <w:rFonts w:ascii="Times New Roman" w:hAnsi="Times New Roman" w:cs="Times New Roman"/>
          <w:sz w:val="24"/>
        </w:rPr>
        <w:br w:type="page"/>
      </w:r>
    </w:p>
    <w:p w14:paraId="7B4C1A91" w14:textId="5DE5FBEF" w:rsidR="00BF6AC5" w:rsidRPr="004B0DA6" w:rsidRDefault="00BF6AC5" w:rsidP="00BF6AC5">
      <w:pPr>
        <w:keepNext/>
        <w:spacing w:after="0"/>
        <w:rPr>
          <w:rFonts w:ascii="Times New Roman" w:hAnsi="Times New Roman" w:cs="Times New Roman"/>
          <w:sz w:val="24"/>
        </w:rPr>
      </w:pPr>
      <w:r w:rsidRPr="004B0DA6">
        <w:rPr>
          <w:rFonts w:ascii="Times New Roman" w:hAnsi="Times New Roman" w:cs="Times New Roman"/>
          <w:sz w:val="24"/>
        </w:rPr>
        <w:lastRenderedPageBreak/>
        <w:t xml:space="preserve">f. </w:t>
      </w:r>
      <w:r w:rsidRPr="004B0DA6">
        <w:rPr>
          <w:rFonts w:ascii="Times New Roman" w:hAnsi="Times New Roman" w:cs="Times New Roman"/>
          <w:sz w:val="24"/>
          <w:u w:val="single"/>
        </w:rPr>
        <w:t>Changes in Long-Term Liabilities.</w:t>
      </w:r>
      <w:r w:rsidRPr="004B0DA6">
        <w:rPr>
          <w:rFonts w:ascii="Times New Roman" w:hAnsi="Times New Roman" w:cs="Times New Roman"/>
          <w:sz w:val="24"/>
        </w:rPr>
        <w:t xml:space="preserve"> </w:t>
      </w:r>
    </w:p>
    <w:p w14:paraId="5AFEEB0C" w14:textId="77777777" w:rsidR="00BF6AC5" w:rsidRPr="004B0DA6" w:rsidRDefault="00BF6AC5" w:rsidP="00BF6AC5">
      <w:pPr>
        <w:keepNext/>
        <w:spacing w:after="0"/>
        <w:rPr>
          <w:rFonts w:ascii="Times New Roman" w:hAnsi="Times New Roman" w:cs="Times New Roman"/>
          <w:sz w:val="24"/>
        </w:rPr>
      </w:pPr>
    </w:p>
    <w:p w14:paraId="14C3B754" w14:textId="4955CAA6" w:rsidR="00BF6AC5" w:rsidRPr="004B0DA6" w:rsidRDefault="00234F1C" w:rsidP="00BF6AC5">
      <w:pPr>
        <w:keepNext/>
        <w:spacing w:after="0"/>
        <w:rPr>
          <w:rFonts w:ascii="Times New Roman" w:hAnsi="Times New Roman" w:cs="Times New Roman"/>
          <w:sz w:val="24"/>
        </w:rPr>
      </w:pPr>
      <w:r>
        <w:rPr>
          <w:rFonts w:ascii="Times New Roman" w:hAnsi="Times New Roman" w:cs="Times New Roman"/>
          <w:noProof/>
        </w:rPr>
        <w:object w:dxaOrig="1440" w:dyaOrig="1440" w14:anchorId="0344C92E">
          <v:shape id="_x0000_s2099" type="#_x0000_t75" style="position:absolute;margin-left:-25.6pt;margin-top:65.45pt;width:493.85pt;height:588.75pt;z-index:251689984">
            <v:imagedata r:id="rId87" o:title=""/>
            <w10:wrap type="topAndBottom"/>
          </v:shape>
          <o:OLEObject Type="Embed" ProgID="Excel.Sheet.8" ShapeID="_x0000_s2099" DrawAspect="Content" ObjectID="_1793012048" r:id="rId88"/>
        </w:object>
      </w:r>
      <w:r w:rsidR="00BF6AC5" w:rsidRPr="004B0DA6">
        <w:rPr>
          <w:rFonts w:ascii="Times New Roman" w:hAnsi="Times New Roman" w:cs="Times New Roman"/>
          <w:sz w:val="24"/>
        </w:rPr>
        <w:t>Compensated absences for governmental activities have typically been liquidated in the General Fund</w:t>
      </w:r>
    </w:p>
    <w:p w14:paraId="78787DAB" w14:textId="417A0AAC" w:rsidR="00090577" w:rsidRPr="004B0DA6" w:rsidRDefault="0056179C" w:rsidP="00203597">
      <w:pPr>
        <w:keepNext/>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sz w:val="24"/>
        </w:rPr>
      </w:pPr>
      <w:r w:rsidRPr="004B0DA6">
        <w:rPr>
          <w:rFonts w:ascii="Times New Roman" w:hAnsi="Times New Roman" w:cs="Times New Roman"/>
          <w:b/>
          <w:bCs/>
          <w:sz w:val="24"/>
        </w:rPr>
        <w:lastRenderedPageBreak/>
        <w:t>Note to preparer</w:t>
      </w:r>
      <w:r w:rsidRPr="004B0DA6">
        <w:rPr>
          <w:rFonts w:ascii="Times New Roman" w:hAnsi="Times New Roman" w:cs="Times New Roman"/>
          <w:sz w:val="24"/>
        </w:rPr>
        <w:t>: All installment purchase agreements that are used to finance the acquisition of capital assets for general government use are to be included as debt on the Statement of Net Position. A continuing contract for which there is no formal financing should be included in the commitments note.</w:t>
      </w:r>
    </w:p>
    <w:p w14:paraId="2C6B77F2" w14:textId="77777777" w:rsidR="00090577" w:rsidRPr="004B0DA6" w:rsidRDefault="00090577" w:rsidP="00203597">
      <w:pPr>
        <w:keepNext/>
        <w:spacing w:after="0"/>
        <w:rPr>
          <w:rFonts w:ascii="Times New Roman" w:hAnsi="Times New Roman" w:cs="Times New Roman"/>
          <w:sz w:val="24"/>
        </w:rPr>
      </w:pPr>
    </w:p>
    <w:p w14:paraId="634FA44D" w14:textId="008C196F" w:rsidR="0056179C" w:rsidRPr="004B0DA6" w:rsidRDefault="0056179C" w:rsidP="00203597">
      <w:pPr>
        <w:keepNext/>
        <w:spacing w:after="0"/>
        <w:rPr>
          <w:rFonts w:ascii="Times New Roman" w:hAnsi="Times New Roman" w:cs="Times New Roman"/>
          <w:sz w:val="24"/>
          <w:u w:val="single"/>
        </w:rPr>
      </w:pPr>
      <w:r w:rsidRPr="004B0DA6">
        <w:rPr>
          <w:rFonts w:ascii="Times New Roman" w:hAnsi="Times New Roman" w:cs="Times New Roman"/>
          <w:sz w:val="24"/>
        </w:rPr>
        <w:t xml:space="preserve">C. </w:t>
      </w:r>
      <w:r w:rsidRPr="004B0DA6">
        <w:rPr>
          <w:rFonts w:ascii="Times New Roman" w:hAnsi="Times New Roman" w:cs="Times New Roman"/>
          <w:sz w:val="24"/>
          <w:u w:val="single"/>
        </w:rPr>
        <w:t>Interfund Balances and Activity</w:t>
      </w:r>
    </w:p>
    <w:p w14:paraId="19B86449" w14:textId="77777777" w:rsidR="00BF6AC5" w:rsidRPr="004B0DA6" w:rsidRDefault="00BF6AC5" w:rsidP="00203597">
      <w:pPr>
        <w:keepNext/>
        <w:spacing w:after="0"/>
        <w:rPr>
          <w:rFonts w:ascii="Times New Roman" w:hAnsi="Times New Roman" w:cs="Times New Roman"/>
          <w:sz w:val="24"/>
          <w:u w:val="single"/>
        </w:rPr>
      </w:pPr>
    </w:p>
    <w:p w14:paraId="3769294A" w14:textId="31E54FC4" w:rsidR="0056179C" w:rsidRPr="004B0DA6" w:rsidRDefault="0056179C" w:rsidP="00203597">
      <w:pPr>
        <w:keepNext/>
        <w:pBdr>
          <w:top w:val="thinThickThinSmallGap" w:sz="24" w:space="1" w:color="auto"/>
          <w:left w:val="thinThickThinSmallGap" w:sz="24" w:space="4" w:color="auto"/>
          <w:bottom w:val="thinThickThinSmallGap" w:sz="24" w:space="1" w:color="auto"/>
          <w:right w:val="thinThickThinSmallGap" w:sz="24" w:space="4" w:color="auto"/>
        </w:pBdr>
        <w:spacing w:after="0"/>
        <w:rPr>
          <w:rFonts w:ascii="Times New Roman" w:hAnsi="Times New Roman" w:cs="Times New Roman"/>
          <w:bCs/>
          <w:sz w:val="24"/>
        </w:rPr>
      </w:pPr>
      <w:r w:rsidRPr="004B0DA6">
        <w:rPr>
          <w:rFonts w:ascii="Times New Roman" w:hAnsi="Times New Roman" w:cs="Times New Roman"/>
          <w:b/>
          <w:bCs/>
          <w:sz w:val="24"/>
        </w:rPr>
        <w:t xml:space="preserve">Note to preparer:  </w:t>
      </w:r>
      <w:r w:rsidRPr="004B0DA6">
        <w:rPr>
          <w:rFonts w:ascii="Times New Roman" w:hAnsi="Times New Roman" w:cs="Times New Roman"/>
          <w:bCs/>
          <w:sz w:val="24"/>
        </w:rPr>
        <w:t xml:space="preserve">The purpose of each transfer must be disclosed. </w:t>
      </w:r>
    </w:p>
    <w:p w14:paraId="3C4857BB" w14:textId="2D9A50C7" w:rsidR="0056179C" w:rsidRPr="004B0DA6" w:rsidRDefault="0056179C" w:rsidP="00203597">
      <w:pPr>
        <w:keepNext/>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b/>
          <w:bCs/>
          <w:i/>
          <w:iCs/>
          <w:sz w:val="24"/>
        </w:rPr>
      </w:pPr>
      <w:r w:rsidRPr="004B0DA6">
        <w:rPr>
          <w:rFonts w:ascii="Times New Roman" w:hAnsi="Times New Roman" w:cs="Times New Roman"/>
          <w:sz w:val="24"/>
        </w:rPr>
        <w:t xml:space="preserve">Understanding interfund balances plays a significant role in the determination of fiscal health.  The justification and a repayment schedule should be disclosed for balances that are not expected to be repaid within the current fiscal year. </w:t>
      </w:r>
      <w:r w:rsidRPr="004B0DA6">
        <w:rPr>
          <w:rFonts w:ascii="Times New Roman" w:hAnsi="Times New Roman" w:cs="Times New Roman"/>
          <w:b/>
          <w:bCs/>
          <w:i/>
          <w:iCs/>
          <w:sz w:val="24"/>
        </w:rPr>
        <w:t>Please do not simply cut and paste the sample note for transfers and due to/from/ advances to/from. Th</w:t>
      </w:r>
      <w:r w:rsidR="00090577" w:rsidRPr="004B0DA6">
        <w:rPr>
          <w:rFonts w:ascii="Times New Roman" w:hAnsi="Times New Roman" w:cs="Times New Roman"/>
          <w:b/>
          <w:bCs/>
          <w:i/>
          <w:iCs/>
          <w:sz w:val="24"/>
        </w:rPr>
        <w:t>is</w:t>
      </w:r>
      <w:r w:rsidRPr="004B0DA6">
        <w:rPr>
          <w:rFonts w:ascii="Times New Roman" w:hAnsi="Times New Roman" w:cs="Times New Roman"/>
          <w:b/>
          <w:bCs/>
          <w:i/>
          <w:iCs/>
          <w:sz w:val="24"/>
        </w:rPr>
        <w:t xml:space="preserve"> </w:t>
      </w:r>
      <w:proofErr w:type="gramStart"/>
      <w:r w:rsidRPr="004B0DA6">
        <w:rPr>
          <w:rFonts w:ascii="Times New Roman" w:hAnsi="Times New Roman" w:cs="Times New Roman"/>
          <w:b/>
          <w:bCs/>
          <w:i/>
          <w:iCs/>
          <w:sz w:val="24"/>
        </w:rPr>
        <w:t>note</w:t>
      </w:r>
      <w:proofErr w:type="gramEnd"/>
      <w:r w:rsidRPr="004B0DA6">
        <w:rPr>
          <w:rFonts w:ascii="Times New Roman" w:hAnsi="Times New Roman" w:cs="Times New Roman"/>
          <w:b/>
          <w:bCs/>
          <w:i/>
          <w:iCs/>
          <w:sz w:val="24"/>
        </w:rPr>
        <w:t xml:space="preserve"> disclosure should provide a thorough explanation of the purpose of the transfers and /or loans, including terms of repayment for any loans.</w:t>
      </w:r>
    </w:p>
    <w:p w14:paraId="52FDC530" w14:textId="77777777" w:rsidR="00090577" w:rsidRPr="004B0DA6" w:rsidRDefault="00090577" w:rsidP="00203597">
      <w:pPr>
        <w:keepNext/>
        <w:spacing w:after="0"/>
        <w:rPr>
          <w:rFonts w:ascii="Times New Roman" w:hAnsi="Times New Roman" w:cs="Times New Roman"/>
          <w:sz w:val="24"/>
        </w:rPr>
      </w:pPr>
    </w:p>
    <w:p w14:paraId="647ECFD8" w14:textId="1105D76C" w:rsidR="00BF6AC5" w:rsidRPr="004B0DA6" w:rsidRDefault="0056179C" w:rsidP="00203597">
      <w:pPr>
        <w:keepNext/>
        <w:spacing w:after="0"/>
        <w:rPr>
          <w:rFonts w:ascii="Times New Roman" w:hAnsi="Times New Roman" w:cs="Times New Roman"/>
          <w:sz w:val="24"/>
        </w:rPr>
      </w:pPr>
      <w:r w:rsidRPr="004B0DA6">
        <w:rPr>
          <w:rFonts w:ascii="Times New Roman" w:hAnsi="Times New Roman" w:cs="Times New Roman"/>
          <w:sz w:val="24"/>
        </w:rPr>
        <w:t xml:space="preserve">Balances due to/from other funds at June 30, </w:t>
      </w:r>
      <w:r w:rsidR="00A85B23" w:rsidRPr="004B0DA6">
        <w:rPr>
          <w:rFonts w:ascii="Times New Roman" w:hAnsi="Times New Roman" w:cs="Times New Roman"/>
          <w:sz w:val="24"/>
        </w:rPr>
        <w:t>202</w:t>
      </w:r>
      <w:r w:rsidR="00817D0A" w:rsidRPr="004B0DA6">
        <w:rPr>
          <w:rFonts w:ascii="Times New Roman" w:hAnsi="Times New Roman" w:cs="Times New Roman"/>
          <w:sz w:val="24"/>
        </w:rPr>
        <w:t>4</w:t>
      </w:r>
      <w:r w:rsidRPr="004B0DA6">
        <w:rPr>
          <w:rFonts w:ascii="Times New Roman" w:hAnsi="Times New Roman" w:cs="Times New Roman"/>
          <w:sz w:val="24"/>
        </w:rPr>
        <w:t>, consist of the following:</w:t>
      </w:r>
    </w:p>
    <w:tbl>
      <w:tblPr>
        <w:tblW w:w="0" w:type="auto"/>
        <w:tblInd w:w="801" w:type="dxa"/>
        <w:tblLook w:val="0000" w:firstRow="0" w:lastRow="0" w:firstColumn="0" w:lastColumn="0" w:noHBand="0" w:noVBand="0"/>
      </w:tblPr>
      <w:tblGrid>
        <w:gridCol w:w="7056"/>
        <w:gridCol w:w="1503"/>
      </w:tblGrid>
      <w:tr w:rsidR="0056179C" w:rsidRPr="004B0DA6" w14:paraId="1403F389" w14:textId="77777777" w:rsidTr="00F9386B">
        <w:trPr>
          <w:trHeight w:val="541"/>
        </w:trPr>
        <w:tc>
          <w:tcPr>
            <w:tcW w:w="7703" w:type="dxa"/>
          </w:tcPr>
          <w:p w14:paraId="758AA2A5" w14:textId="2AF76AB8" w:rsidR="0056179C" w:rsidRPr="004B0DA6" w:rsidRDefault="0056179C" w:rsidP="00203597">
            <w:pPr>
              <w:keepNext/>
              <w:spacing w:after="0"/>
              <w:rPr>
                <w:rFonts w:ascii="Times New Roman" w:hAnsi="Times New Roman" w:cs="Times New Roman"/>
                <w:sz w:val="24"/>
                <w:szCs w:val="24"/>
              </w:rPr>
            </w:pPr>
            <w:r w:rsidRPr="004B0DA6">
              <w:rPr>
                <w:rFonts w:ascii="Times New Roman" w:hAnsi="Times New Roman" w:cs="Times New Roman"/>
                <w:sz w:val="24"/>
                <w:szCs w:val="24"/>
              </w:rPr>
              <w:t>Due to the Central Garage</w:t>
            </w:r>
            <w:r w:rsidR="00F101F4" w:rsidRPr="004B0DA6">
              <w:rPr>
                <w:rFonts w:ascii="Times New Roman" w:hAnsi="Times New Roman" w:cs="Times New Roman"/>
                <w:sz w:val="24"/>
                <w:szCs w:val="24"/>
              </w:rPr>
              <w:t xml:space="preserve"> Internal Service </w:t>
            </w:r>
            <w:r w:rsidRPr="004B0DA6">
              <w:rPr>
                <w:rFonts w:ascii="Times New Roman" w:hAnsi="Times New Roman" w:cs="Times New Roman"/>
                <w:sz w:val="24"/>
                <w:szCs w:val="24"/>
              </w:rPr>
              <w:t>Fund for the allocation of costs from the:</w:t>
            </w:r>
          </w:p>
        </w:tc>
        <w:tc>
          <w:tcPr>
            <w:tcW w:w="1585" w:type="dxa"/>
          </w:tcPr>
          <w:p w14:paraId="628E9C02" w14:textId="77777777" w:rsidR="0056179C" w:rsidRPr="004B0DA6" w:rsidRDefault="0056179C" w:rsidP="00203597">
            <w:pPr>
              <w:keepNext/>
              <w:spacing w:after="0"/>
              <w:rPr>
                <w:rFonts w:ascii="Times New Roman" w:hAnsi="Times New Roman" w:cs="Times New Roman"/>
                <w:sz w:val="24"/>
                <w:szCs w:val="24"/>
              </w:rPr>
            </w:pPr>
          </w:p>
        </w:tc>
      </w:tr>
      <w:tr w:rsidR="0056179C" w:rsidRPr="004B0DA6" w14:paraId="3B6E79BA" w14:textId="77777777" w:rsidTr="00F9386B">
        <w:trPr>
          <w:trHeight w:val="271"/>
        </w:trPr>
        <w:tc>
          <w:tcPr>
            <w:tcW w:w="7703" w:type="dxa"/>
          </w:tcPr>
          <w:p w14:paraId="76A29D71"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Water and Sewer Fund</w:t>
            </w:r>
          </w:p>
        </w:tc>
        <w:tc>
          <w:tcPr>
            <w:tcW w:w="1585" w:type="dxa"/>
          </w:tcPr>
          <w:p w14:paraId="577EED9D"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240</w:t>
            </w:r>
          </w:p>
        </w:tc>
      </w:tr>
      <w:tr w:rsidR="0056179C" w:rsidRPr="004B0DA6" w14:paraId="3B93FC92" w14:textId="77777777" w:rsidTr="00F9386B">
        <w:trPr>
          <w:trHeight w:val="271"/>
        </w:trPr>
        <w:tc>
          <w:tcPr>
            <w:tcW w:w="7703" w:type="dxa"/>
          </w:tcPr>
          <w:p w14:paraId="1840984F"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Electric Fund</w:t>
            </w:r>
          </w:p>
        </w:tc>
        <w:tc>
          <w:tcPr>
            <w:tcW w:w="1585" w:type="dxa"/>
          </w:tcPr>
          <w:p w14:paraId="011FC9F9"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160</w:t>
            </w:r>
          </w:p>
        </w:tc>
      </w:tr>
      <w:tr w:rsidR="0056179C" w:rsidRPr="004B0DA6" w14:paraId="19913B07" w14:textId="77777777" w:rsidTr="00F9386B">
        <w:trPr>
          <w:trHeight w:val="271"/>
        </w:trPr>
        <w:tc>
          <w:tcPr>
            <w:tcW w:w="7703" w:type="dxa"/>
          </w:tcPr>
          <w:p w14:paraId="374D3FD6"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General Fund</w:t>
            </w:r>
          </w:p>
        </w:tc>
        <w:tc>
          <w:tcPr>
            <w:tcW w:w="1585" w:type="dxa"/>
            <w:tcBorders>
              <w:bottom w:val="single" w:sz="4" w:space="0" w:color="auto"/>
            </w:tcBorders>
          </w:tcPr>
          <w:p w14:paraId="2996CF08"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2,200</w:t>
            </w:r>
          </w:p>
        </w:tc>
      </w:tr>
      <w:tr w:rsidR="0056179C" w:rsidRPr="004B0DA6" w14:paraId="7E75F5B4" w14:textId="77777777" w:rsidTr="00F9386B">
        <w:trPr>
          <w:trHeight w:val="271"/>
        </w:trPr>
        <w:tc>
          <w:tcPr>
            <w:tcW w:w="7703" w:type="dxa"/>
          </w:tcPr>
          <w:p w14:paraId="73923C34"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Total</w:t>
            </w:r>
          </w:p>
        </w:tc>
        <w:tc>
          <w:tcPr>
            <w:tcW w:w="1585" w:type="dxa"/>
            <w:tcBorders>
              <w:top w:val="single" w:sz="4" w:space="0" w:color="auto"/>
              <w:bottom w:val="double" w:sz="4" w:space="0" w:color="auto"/>
            </w:tcBorders>
          </w:tcPr>
          <w:p w14:paraId="4C1C8DBA"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$ 2,600</w:t>
            </w:r>
          </w:p>
        </w:tc>
      </w:tr>
    </w:tbl>
    <w:p w14:paraId="0E5FF221" w14:textId="66B13A23" w:rsidR="0056179C" w:rsidRPr="004B0DA6" w:rsidRDefault="0056179C" w:rsidP="00203597">
      <w:pPr>
        <w:spacing w:after="0" w:line="240" w:lineRule="auto"/>
        <w:rPr>
          <w:rFonts w:ascii="Times New Roman" w:eastAsia="Times New Roman" w:hAnsi="Times New Roman" w:cs="Times New Roman"/>
          <w:sz w:val="24"/>
          <w:szCs w:val="24"/>
        </w:rPr>
      </w:pPr>
    </w:p>
    <w:p w14:paraId="0489B0AF" w14:textId="77777777" w:rsidR="002B5113" w:rsidRPr="004B0DA6" w:rsidRDefault="000D37C6"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ab/>
        <w:t>Due to the General Fund from the Water and Sewer Fund</w:t>
      </w:r>
      <w:r w:rsidR="001B4F9C" w:rsidRPr="004B0DA6">
        <w:rPr>
          <w:rFonts w:ascii="Times New Roman" w:eastAsia="Times New Roman" w:hAnsi="Times New Roman" w:cs="Times New Roman"/>
          <w:sz w:val="24"/>
          <w:szCs w:val="24"/>
        </w:rPr>
        <w:t xml:space="preserve"> for the </w:t>
      </w:r>
    </w:p>
    <w:p w14:paraId="0BD26F38" w14:textId="77777777" w:rsidR="002B5113" w:rsidRPr="004B0DA6" w:rsidRDefault="001B4F9C" w:rsidP="00203597">
      <w:pPr>
        <w:spacing w:after="0" w:line="240" w:lineRule="auto"/>
        <w:ind w:firstLine="720"/>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balance of payments in lieu of taxes that had not been remitted to </w:t>
      </w:r>
    </w:p>
    <w:p w14:paraId="381049F3" w14:textId="07D6227B" w:rsidR="000D37C6" w:rsidRPr="004B0DA6" w:rsidRDefault="001B4F9C" w:rsidP="00203597">
      <w:pPr>
        <w:spacing w:after="0" w:line="240" w:lineRule="auto"/>
        <w:ind w:firstLine="720"/>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the General Fund by fiscal year end.</w:t>
      </w:r>
      <w:r w:rsidR="000D37C6" w:rsidRPr="004B0DA6">
        <w:rPr>
          <w:rFonts w:ascii="Times New Roman" w:eastAsia="Times New Roman" w:hAnsi="Times New Roman" w:cs="Times New Roman"/>
          <w:sz w:val="24"/>
          <w:szCs w:val="24"/>
        </w:rPr>
        <w:tab/>
      </w:r>
      <w:r w:rsidR="000D37C6" w:rsidRPr="004B0DA6">
        <w:rPr>
          <w:rFonts w:ascii="Times New Roman" w:eastAsia="Times New Roman" w:hAnsi="Times New Roman" w:cs="Times New Roman"/>
          <w:sz w:val="24"/>
          <w:szCs w:val="24"/>
        </w:rPr>
        <w:tab/>
      </w:r>
      <w:r w:rsidR="000D37C6" w:rsidRPr="004B0DA6">
        <w:rPr>
          <w:rFonts w:ascii="Times New Roman" w:eastAsia="Times New Roman" w:hAnsi="Times New Roman" w:cs="Times New Roman"/>
          <w:sz w:val="24"/>
          <w:szCs w:val="24"/>
        </w:rPr>
        <w:tab/>
      </w:r>
      <w:r w:rsidR="002B5113" w:rsidRPr="004B0DA6">
        <w:rPr>
          <w:rFonts w:ascii="Times New Roman" w:eastAsia="Times New Roman" w:hAnsi="Times New Roman" w:cs="Times New Roman"/>
          <w:sz w:val="24"/>
          <w:szCs w:val="24"/>
        </w:rPr>
        <w:tab/>
      </w:r>
      <w:r w:rsidR="002B5113" w:rsidRPr="004B0DA6">
        <w:rPr>
          <w:rFonts w:ascii="Times New Roman" w:eastAsia="Times New Roman" w:hAnsi="Times New Roman" w:cs="Times New Roman"/>
          <w:sz w:val="24"/>
          <w:szCs w:val="24"/>
        </w:rPr>
        <w:tab/>
      </w:r>
      <w:r w:rsidR="002B5113" w:rsidRPr="004B0DA6">
        <w:rPr>
          <w:rFonts w:ascii="Times New Roman" w:eastAsia="Times New Roman" w:hAnsi="Times New Roman" w:cs="Times New Roman"/>
          <w:sz w:val="24"/>
          <w:szCs w:val="24"/>
        </w:rPr>
        <w:tab/>
      </w:r>
      <w:r w:rsidR="000D37C6" w:rsidRPr="004B0DA6">
        <w:rPr>
          <w:rFonts w:ascii="Times New Roman" w:eastAsia="Times New Roman" w:hAnsi="Times New Roman" w:cs="Times New Roman"/>
          <w:sz w:val="24"/>
          <w:szCs w:val="24"/>
          <w:u w:val="double"/>
        </w:rPr>
        <w:tab/>
        <w:t>$ 3,000</w:t>
      </w:r>
    </w:p>
    <w:p w14:paraId="74F1C370" w14:textId="79E38A3B" w:rsidR="000D37C6" w:rsidRPr="004B0DA6" w:rsidRDefault="000D37C6" w:rsidP="00203597">
      <w:pPr>
        <w:spacing w:after="0" w:line="240" w:lineRule="auto"/>
        <w:rPr>
          <w:rFonts w:ascii="Times New Roman" w:eastAsia="Times New Roman" w:hAnsi="Times New Roman" w:cs="Times New Roman"/>
          <w:sz w:val="24"/>
          <w:szCs w:val="24"/>
        </w:rPr>
      </w:pPr>
    </w:p>
    <w:tbl>
      <w:tblPr>
        <w:tblW w:w="0" w:type="auto"/>
        <w:tblInd w:w="801" w:type="dxa"/>
        <w:tblLook w:val="0000" w:firstRow="0" w:lastRow="0" w:firstColumn="0" w:lastColumn="0" w:noHBand="0" w:noVBand="0"/>
      </w:tblPr>
      <w:tblGrid>
        <w:gridCol w:w="7075"/>
        <w:gridCol w:w="1484"/>
      </w:tblGrid>
      <w:tr w:rsidR="0056179C" w:rsidRPr="004B0DA6" w14:paraId="2CF94D70" w14:textId="77777777" w:rsidTr="00845CD3">
        <w:trPr>
          <w:trHeight w:val="541"/>
        </w:trPr>
        <w:tc>
          <w:tcPr>
            <w:tcW w:w="7260" w:type="dxa"/>
          </w:tcPr>
          <w:p w14:paraId="67AED0F9" w14:textId="06C0AFBB" w:rsidR="00845CD3" w:rsidRPr="004B0DA6" w:rsidRDefault="00845CD3"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The Internal balances reported in the Government-wide financial statements include:</w:t>
            </w:r>
          </w:p>
          <w:p w14:paraId="19DF9EEF" w14:textId="77777777" w:rsidR="00845CD3" w:rsidRPr="004B0DA6" w:rsidRDefault="00845CD3" w:rsidP="00203597">
            <w:pPr>
              <w:spacing w:after="0" w:line="240" w:lineRule="auto"/>
              <w:rPr>
                <w:rFonts w:ascii="Times New Roman" w:eastAsia="Times New Roman" w:hAnsi="Times New Roman" w:cs="Times New Roman"/>
                <w:sz w:val="24"/>
                <w:szCs w:val="24"/>
              </w:rPr>
            </w:pPr>
          </w:p>
          <w:p w14:paraId="11D899A8" w14:textId="6BD41D32"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Due from the Central Garage Fund</w:t>
            </w:r>
            <w:r w:rsidR="00845CD3" w:rsidRPr="004B0DA6">
              <w:rPr>
                <w:rFonts w:ascii="Times New Roman" w:eastAsia="Times New Roman" w:hAnsi="Times New Roman" w:cs="Times New Roman"/>
                <w:sz w:val="24"/>
                <w:szCs w:val="24"/>
              </w:rPr>
              <w:t xml:space="preserve"> (Governmental Activities)</w:t>
            </w:r>
            <w:r w:rsidRPr="004B0DA6">
              <w:rPr>
                <w:rFonts w:ascii="Times New Roman" w:eastAsia="Times New Roman" w:hAnsi="Times New Roman" w:cs="Times New Roman"/>
                <w:sz w:val="24"/>
                <w:szCs w:val="24"/>
              </w:rPr>
              <w:t xml:space="preserve"> for its activity allocation to the Proprietary Funds</w:t>
            </w:r>
            <w:r w:rsidR="00845CD3" w:rsidRPr="004B0DA6">
              <w:rPr>
                <w:rFonts w:ascii="Times New Roman" w:eastAsia="Times New Roman" w:hAnsi="Times New Roman" w:cs="Times New Roman"/>
                <w:sz w:val="24"/>
                <w:szCs w:val="24"/>
              </w:rPr>
              <w:t xml:space="preserve"> (Business-type Activities)</w:t>
            </w:r>
          </w:p>
        </w:tc>
        <w:tc>
          <w:tcPr>
            <w:tcW w:w="1515" w:type="dxa"/>
          </w:tcPr>
          <w:p w14:paraId="7C40FE58" w14:textId="77777777" w:rsidR="00845CD3" w:rsidRPr="004B0DA6" w:rsidRDefault="00845CD3" w:rsidP="00203597">
            <w:pPr>
              <w:spacing w:after="0" w:line="240" w:lineRule="auto"/>
              <w:jc w:val="right"/>
              <w:rPr>
                <w:rFonts w:ascii="Times New Roman" w:eastAsia="Times New Roman" w:hAnsi="Times New Roman" w:cs="Times New Roman"/>
                <w:sz w:val="24"/>
                <w:szCs w:val="24"/>
              </w:rPr>
            </w:pPr>
          </w:p>
          <w:p w14:paraId="6338C83F" w14:textId="7373ED89" w:rsidR="00845CD3" w:rsidRPr="004B0DA6" w:rsidRDefault="00845CD3" w:rsidP="00203597">
            <w:pPr>
              <w:spacing w:after="0" w:line="240" w:lineRule="auto"/>
              <w:jc w:val="right"/>
              <w:rPr>
                <w:rFonts w:ascii="Times New Roman" w:eastAsia="Times New Roman" w:hAnsi="Times New Roman" w:cs="Times New Roman"/>
                <w:sz w:val="24"/>
                <w:szCs w:val="24"/>
              </w:rPr>
            </w:pPr>
          </w:p>
          <w:p w14:paraId="4FED138A" w14:textId="19BC201C" w:rsidR="00845CD3" w:rsidRPr="004B0DA6" w:rsidRDefault="00845CD3" w:rsidP="00203597">
            <w:pPr>
              <w:spacing w:after="0" w:line="240" w:lineRule="auto"/>
              <w:jc w:val="right"/>
              <w:rPr>
                <w:rFonts w:ascii="Times New Roman" w:eastAsia="Times New Roman" w:hAnsi="Times New Roman" w:cs="Times New Roman"/>
                <w:sz w:val="24"/>
                <w:szCs w:val="24"/>
              </w:rPr>
            </w:pPr>
          </w:p>
          <w:p w14:paraId="3D8B8851" w14:textId="2038E5BB"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300</w:t>
            </w:r>
          </w:p>
        </w:tc>
      </w:tr>
    </w:tbl>
    <w:p w14:paraId="731C9C7F" w14:textId="77777777" w:rsidR="0056179C" w:rsidRPr="004B0DA6" w:rsidRDefault="0056179C" w:rsidP="00203597">
      <w:pPr>
        <w:spacing w:after="0"/>
        <w:jc w:val="both"/>
        <w:rPr>
          <w:rFonts w:ascii="Times New Roman" w:hAnsi="Times New Roman" w:cs="Times New Roman"/>
          <w:sz w:val="24"/>
        </w:rPr>
      </w:pPr>
    </w:p>
    <w:p w14:paraId="1E65AFBF" w14:textId="2AD86979"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xml:space="preserve">Interfund loan - On June 30, </w:t>
      </w:r>
      <w:r w:rsidR="00A85B23" w:rsidRPr="004B0DA6">
        <w:rPr>
          <w:rFonts w:ascii="Times New Roman" w:hAnsi="Times New Roman" w:cs="Times New Roman"/>
          <w:sz w:val="24"/>
        </w:rPr>
        <w:t>202</w:t>
      </w:r>
      <w:r w:rsidR="00817D0A" w:rsidRPr="004B0DA6">
        <w:rPr>
          <w:rFonts w:ascii="Times New Roman" w:hAnsi="Times New Roman" w:cs="Times New Roman"/>
          <w:sz w:val="24"/>
        </w:rPr>
        <w:t>4</w:t>
      </w:r>
      <w:r w:rsidRPr="004B0DA6">
        <w:rPr>
          <w:rFonts w:ascii="Times New Roman" w:hAnsi="Times New Roman" w:cs="Times New Roman"/>
          <w:sz w:val="24"/>
        </w:rPr>
        <w:t xml:space="preserve">, the Water and Sewer Fund borrowed $30,000 from the General Fund to fund an equipment purchase.  The terms of the arrangement require the Water and Sewer Fund to repay the General Fund over ten years with an interest rate of 1.5%.  In the Water and Sewer Fund $3,000 that will be due within the next year is presented as a due to the General Fund; the remaining $27,000 is presented as an advance from the General Fund.  </w: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029"/>
      </w:tblGrid>
      <w:tr w:rsidR="0056179C" w:rsidRPr="004B0DA6" w14:paraId="1E4ECAF9" w14:textId="77777777" w:rsidTr="00F9386B">
        <w:tc>
          <w:tcPr>
            <w:tcW w:w="9029" w:type="dxa"/>
            <w:tcBorders>
              <w:top w:val="nil"/>
              <w:left w:val="nil"/>
              <w:bottom w:val="nil"/>
              <w:right w:val="nil"/>
            </w:tcBorders>
          </w:tcPr>
          <w:p w14:paraId="46B5E961" w14:textId="77777777" w:rsidR="007B7C90" w:rsidRPr="004B0DA6" w:rsidRDefault="007B7C90" w:rsidP="007B7C90">
            <w:pPr>
              <w:spacing w:after="0"/>
              <w:jc w:val="both"/>
              <w:rPr>
                <w:rFonts w:ascii="Times New Roman" w:hAnsi="Times New Roman" w:cs="Times New Roman"/>
                <w:sz w:val="24"/>
              </w:rPr>
            </w:pPr>
          </w:p>
          <w:p w14:paraId="4911FC09" w14:textId="4A44A68A" w:rsidR="007B7C90" w:rsidRPr="004B0DA6" w:rsidRDefault="007B7C90" w:rsidP="007B7C90">
            <w:pPr>
              <w:spacing w:after="0"/>
              <w:jc w:val="both"/>
              <w:rPr>
                <w:rFonts w:ascii="Times New Roman" w:hAnsi="Times New Roman" w:cs="Times New Roman"/>
                <w:sz w:val="24"/>
              </w:rPr>
            </w:pPr>
            <w:r w:rsidRPr="004B0DA6">
              <w:rPr>
                <w:rFonts w:ascii="Times New Roman" w:hAnsi="Times New Roman" w:cs="Times New Roman"/>
                <w:sz w:val="24"/>
              </w:rPr>
              <w:t xml:space="preserve">The interfund balances resulted from the time lag between the dates that (1) interfund goods and services are provided or reimbursable expenditures occur, (2) transactions are recorded in the accounting system, and (3) payments between funds are made. </w:t>
            </w:r>
          </w:p>
          <w:p w14:paraId="3E13F29A" w14:textId="77777777" w:rsidR="0056179C" w:rsidRPr="004B0DA6" w:rsidRDefault="0056179C" w:rsidP="00203597">
            <w:pPr>
              <w:spacing w:after="0" w:line="240" w:lineRule="exact"/>
              <w:jc w:val="both"/>
              <w:rPr>
                <w:rFonts w:ascii="Times New Roman" w:hAnsi="Times New Roman" w:cs="Times New Roman"/>
              </w:rPr>
            </w:pPr>
          </w:p>
        </w:tc>
      </w:tr>
    </w:tbl>
    <w:p w14:paraId="4FCD81CE" w14:textId="7A71AA41" w:rsidR="0056179C" w:rsidRPr="004B0DA6" w:rsidRDefault="0056179C" w:rsidP="00203597">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sz w:val="24"/>
        </w:rPr>
      </w:pPr>
      <w:r w:rsidRPr="004B0DA6">
        <w:rPr>
          <w:rFonts w:ascii="Times New Roman" w:hAnsi="Times New Roman" w:cs="Times New Roman"/>
          <w:b/>
          <w:sz w:val="24"/>
        </w:rPr>
        <w:lastRenderedPageBreak/>
        <w:t>Note to preparer</w:t>
      </w:r>
      <w:r w:rsidRPr="004B0DA6">
        <w:rPr>
          <w:rFonts w:ascii="Times New Roman" w:hAnsi="Times New Roman" w:cs="Times New Roman"/>
          <w:sz w:val="24"/>
        </w:rPr>
        <w:t xml:space="preserve">:  G.S. 159B-39, which was effective July 1, 2014, specifies approved uses of Electric Fund revenue. Please specify the components of Electric Fund transfers, for example, payments in lieu of property taxes, and other.  See </w:t>
      </w:r>
      <w:r w:rsidR="00047400" w:rsidRPr="004B0DA6">
        <w:rPr>
          <w:rFonts w:ascii="Times New Roman" w:hAnsi="Times New Roman" w:cs="Times New Roman"/>
          <w:sz w:val="24"/>
        </w:rPr>
        <w:t>page 122</w:t>
      </w:r>
      <w:r w:rsidRPr="004B0DA6">
        <w:rPr>
          <w:rFonts w:ascii="Times New Roman" w:hAnsi="Times New Roman" w:cs="Times New Roman"/>
          <w:sz w:val="24"/>
        </w:rPr>
        <w:t xml:space="preserve">.  </w:t>
      </w:r>
    </w:p>
    <w:p w14:paraId="19F9A364" w14:textId="77777777" w:rsidR="0056179C" w:rsidRPr="004B0DA6" w:rsidRDefault="0056179C" w:rsidP="00203597">
      <w:pPr>
        <w:spacing w:after="0"/>
        <w:rPr>
          <w:rFonts w:ascii="Times New Roman" w:hAnsi="Times New Roman" w:cs="Times New Roman"/>
        </w:rPr>
      </w:pPr>
    </w:p>
    <w:p w14:paraId="5FB47CB2" w14:textId="5546CF43" w:rsidR="0056179C" w:rsidRPr="004B0DA6" w:rsidRDefault="0056179C" w:rsidP="00203597">
      <w:pPr>
        <w:keepNext/>
        <w:spacing w:after="0"/>
        <w:rPr>
          <w:rFonts w:ascii="Times New Roman" w:hAnsi="Times New Roman" w:cs="Times New Roman"/>
          <w:sz w:val="24"/>
          <w:szCs w:val="24"/>
        </w:rPr>
      </w:pPr>
      <w:r w:rsidRPr="004B0DA6">
        <w:rPr>
          <w:rFonts w:ascii="Times New Roman" w:hAnsi="Times New Roman" w:cs="Times New Roman"/>
          <w:sz w:val="24"/>
          <w:szCs w:val="24"/>
        </w:rPr>
        <w:t xml:space="preserve">Transfers to/from other funds at June 30, </w:t>
      </w:r>
      <w:r w:rsidR="00A85B23" w:rsidRPr="004B0DA6">
        <w:rPr>
          <w:rFonts w:ascii="Times New Roman" w:hAnsi="Times New Roman" w:cs="Times New Roman"/>
          <w:sz w:val="24"/>
          <w:szCs w:val="24"/>
        </w:rPr>
        <w:t>202</w:t>
      </w:r>
      <w:r w:rsidR="00817D0A" w:rsidRPr="004B0DA6">
        <w:rPr>
          <w:rFonts w:ascii="Times New Roman" w:hAnsi="Times New Roman" w:cs="Times New Roman"/>
          <w:sz w:val="24"/>
          <w:szCs w:val="24"/>
        </w:rPr>
        <w:t>4</w:t>
      </w:r>
      <w:r w:rsidRPr="004B0DA6">
        <w:rPr>
          <w:rFonts w:ascii="Times New Roman" w:hAnsi="Times New Roman" w:cs="Times New Roman"/>
          <w:sz w:val="24"/>
          <w:szCs w:val="24"/>
        </w:rPr>
        <w:t>, consist of the following:</w:t>
      </w:r>
    </w:p>
    <w:tbl>
      <w:tblPr>
        <w:tblW w:w="0" w:type="auto"/>
        <w:tblLook w:val="0000" w:firstRow="0" w:lastRow="0" w:firstColumn="0" w:lastColumn="0" w:noHBand="0" w:noVBand="0"/>
      </w:tblPr>
      <w:tblGrid>
        <w:gridCol w:w="8244"/>
        <w:gridCol w:w="1116"/>
      </w:tblGrid>
      <w:tr w:rsidR="0056179C" w:rsidRPr="004B0DA6" w14:paraId="1D06660C" w14:textId="77777777" w:rsidTr="00F9386B">
        <w:trPr>
          <w:trHeight w:val="288"/>
        </w:trPr>
        <w:tc>
          <w:tcPr>
            <w:tcW w:w="0" w:type="auto"/>
          </w:tcPr>
          <w:p w14:paraId="2A20A516"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From the General Fund to the Parking and Recreation Fund to fund the local match required by the grant agreement</w:t>
            </w:r>
          </w:p>
        </w:tc>
        <w:tc>
          <w:tcPr>
            <w:tcW w:w="0" w:type="auto"/>
            <w:vAlign w:val="bottom"/>
          </w:tcPr>
          <w:p w14:paraId="416A1076"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$208,400</w:t>
            </w:r>
          </w:p>
        </w:tc>
      </w:tr>
      <w:tr w:rsidR="0056179C" w:rsidRPr="004B0DA6" w14:paraId="65294D26" w14:textId="77777777" w:rsidTr="00F9386B">
        <w:trPr>
          <w:trHeight w:val="335"/>
        </w:trPr>
        <w:tc>
          <w:tcPr>
            <w:tcW w:w="0" w:type="auto"/>
          </w:tcPr>
          <w:p w14:paraId="19859269" w14:textId="77777777" w:rsidR="0056179C" w:rsidRPr="004B0DA6" w:rsidRDefault="0056179C" w:rsidP="00203597">
            <w:pPr>
              <w:spacing w:after="0" w:line="240" w:lineRule="auto"/>
              <w:rPr>
                <w:rFonts w:ascii="Times New Roman" w:eastAsia="Times New Roman" w:hAnsi="Times New Roman" w:cs="Times New Roman"/>
                <w:sz w:val="24"/>
                <w:szCs w:val="24"/>
              </w:rPr>
            </w:pPr>
          </w:p>
          <w:p w14:paraId="344E7487"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From the General Fund to the Water and Sewer Capital Projects Fund to fund the local match required by grant agreement</w:t>
            </w:r>
          </w:p>
        </w:tc>
        <w:tc>
          <w:tcPr>
            <w:tcW w:w="0" w:type="auto"/>
            <w:vAlign w:val="bottom"/>
          </w:tcPr>
          <w:p w14:paraId="40D9233A"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97,400</w:t>
            </w:r>
          </w:p>
        </w:tc>
      </w:tr>
      <w:tr w:rsidR="0056179C" w:rsidRPr="004B0DA6" w14:paraId="3C68EE24" w14:textId="77777777" w:rsidTr="00F9386B">
        <w:trPr>
          <w:trHeight w:val="148"/>
        </w:trPr>
        <w:tc>
          <w:tcPr>
            <w:tcW w:w="0" w:type="auto"/>
          </w:tcPr>
          <w:p w14:paraId="7C8185EA" w14:textId="77777777" w:rsidR="0056179C" w:rsidRPr="004B0DA6" w:rsidRDefault="0056179C" w:rsidP="00203597">
            <w:pPr>
              <w:spacing w:after="0" w:line="240" w:lineRule="auto"/>
              <w:rPr>
                <w:rFonts w:ascii="Times New Roman" w:eastAsia="Times New Roman" w:hAnsi="Times New Roman" w:cs="Times New Roman"/>
                <w:sz w:val="24"/>
                <w:szCs w:val="24"/>
              </w:rPr>
            </w:pPr>
          </w:p>
          <w:p w14:paraId="0FFB5D6B"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From the Electric Fund to the General Fund – payment in lieu of taxes</w:t>
            </w:r>
          </w:p>
        </w:tc>
        <w:tc>
          <w:tcPr>
            <w:tcW w:w="0" w:type="auto"/>
            <w:vAlign w:val="bottom"/>
          </w:tcPr>
          <w:p w14:paraId="393B8BA4"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5,986</w:t>
            </w:r>
          </w:p>
        </w:tc>
      </w:tr>
      <w:tr w:rsidR="0056179C" w:rsidRPr="004B0DA6" w14:paraId="35076AEA" w14:textId="77777777" w:rsidTr="00F9386B">
        <w:trPr>
          <w:trHeight w:val="198"/>
        </w:trPr>
        <w:tc>
          <w:tcPr>
            <w:tcW w:w="0" w:type="auto"/>
          </w:tcPr>
          <w:p w14:paraId="2084B392" w14:textId="77777777" w:rsidR="0056179C" w:rsidRPr="004B0DA6" w:rsidRDefault="0056179C" w:rsidP="00203597">
            <w:pPr>
              <w:spacing w:after="0" w:line="240" w:lineRule="auto"/>
              <w:rPr>
                <w:rFonts w:ascii="Times New Roman" w:eastAsia="Times New Roman" w:hAnsi="Times New Roman" w:cs="Times New Roman"/>
                <w:sz w:val="24"/>
                <w:szCs w:val="24"/>
              </w:rPr>
            </w:pPr>
          </w:p>
          <w:p w14:paraId="1DE9AF60"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From the Water and Sewer Fund to the General Fund – payment in lieu of taxes</w:t>
            </w:r>
          </w:p>
        </w:tc>
        <w:tc>
          <w:tcPr>
            <w:tcW w:w="972" w:type="dxa"/>
          </w:tcPr>
          <w:p w14:paraId="28F9A65B"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p>
          <w:p w14:paraId="0C6FB88B"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4,827</w:t>
            </w:r>
          </w:p>
        </w:tc>
      </w:tr>
      <w:tr w:rsidR="0056179C" w:rsidRPr="004B0DA6" w14:paraId="4A0D6124" w14:textId="77777777" w:rsidTr="00F9386B">
        <w:trPr>
          <w:trHeight w:val="148"/>
        </w:trPr>
        <w:tc>
          <w:tcPr>
            <w:tcW w:w="0" w:type="auto"/>
          </w:tcPr>
          <w:p w14:paraId="789D523F"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Total</w:t>
            </w:r>
          </w:p>
        </w:tc>
        <w:tc>
          <w:tcPr>
            <w:tcW w:w="0" w:type="auto"/>
            <w:tcBorders>
              <w:top w:val="single" w:sz="4" w:space="0" w:color="auto"/>
              <w:bottom w:val="double" w:sz="4" w:space="0" w:color="auto"/>
            </w:tcBorders>
          </w:tcPr>
          <w:p w14:paraId="4669206A"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$316,613</w:t>
            </w:r>
          </w:p>
        </w:tc>
      </w:tr>
    </w:tbl>
    <w:p w14:paraId="7E548BB9" w14:textId="77777777" w:rsidR="0056179C" w:rsidRPr="004B0DA6" w:rsidRDefault="0056179C" w:rsidP="00203597">
      <w:pPr>
        <w:spacing w:after="0"/>
        <w:rPr>
          <w:rFonts w:ascii="Times New Roman" w:hAnsi="Times New Roman" w:cs="Times New Roman"/>
          <w:sz w:val="24"/>
          <w:szCs w:val="24"/>
        </w:rPr>
      </w:pPr>
    </w:p>
    <w:p w14:paraId="55049E64" w14:textId="056D8538"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Transfers are used to move unrestricted revenues to finance various programs that the government must account for in other funds in accordance with budgetary authorizations, including amounts provided </w:t>
      </w:r>
      <w:r w:rsidR="00782448" w:rsidRPr="004B0DA6">
        <w:rPr>
          <w:rFonts w:ascii="Times New Roman" w:hAnsi="Times New Roman" w:cs="Times New Roman"/>
          <w:sz w:val="24"/>
          <w:szCs w:val="24"/>
        </w:rPr>
        <w:t xml:space="preserve">for </w:t>
      </w:r>
      <w:r w:rsidRPr="004B0DA6">
        <w:rPr>
          <w:rFonts w:ascii="Times New Roman" w:hAnsi="Times New Roman" w:cs="Times New Roman"/>
          <w:sz w:val="24"/>
          <w:szCs w:val="24"/>
        </w:rPr>
        <w:t>matching funds for various grant programs.</w:t>
      </w:r>
    </w:p>
    <w:p w14:paraId="20E0F34E" w14:textId="188A30F5"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During the </w:t>
      </w:r>
      <w:r w:rsidR="00A85B23" w:rsidRPr="004B0DA6">
        <w:rPr>
          <w:rFonts w:ascii="Times New Roman" w:hAnsi="Times New Roman" w:cs="Times New Roman"/>
          <w:sz w:val="24"/>
          <w:szCs w:val="24"/>
        </w:rPr>
        <w:t>202</w:t>
      </w:r>
      <w:r w:rsidR="00817D0A" w:rsidRPr="004B0DA6">
        <w:rPr>
          <w:rFonts w:ascii="Times New Roman" w:hAnsi="Times New Roman" w:cs="Times New Roman"/>
          <w:sz w:val="24"/>
          <w:szCs w:val="24"/>
        </w:rPr>
        <w:t>4</w:t>
      </w:r>
      <w:r w:rsidRPr="004B0DA6">
        <w:rPr>
          <w:rFonts w:ascii="Times New Roman" w:hAnsi="Times New Roman" w:cs="Times New Roman"/>
          <w:sz w:val="24"/>
          <w:szCs w:val="24"/>
        </w:rPr>
        <w:t xml:space="preserve"> fiscal year, the City made a one-time transfer from the General Fund of $208,400 to the Parking and Recreation Fund as per the terms of a matching grant and of $97,400 to the Water and Sewer Capital Projects Fund for expansion of water and sewer lines in the new construction of the City’s park. </w:t>
      </w:r>
    </w:p>
    <w:p w14:paraId="41DD93BD" w14:textId="77777777" w:rsidR="00BF6AC5" w:rsidRPr="004B0DA6" w:rsidRDefault="00BF6AC5" w:rsidP="00203597">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56179C" w:rsidRPr="004B0DA6" w14:paraId="44944A27" w14:textId="77777777" w:rsidTr="00F9386B">
        <w:tc>
          <w:tcPr>
            <w:tcW w:w="106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70E2B706" w14:textId="34B5F642"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xml:space="preserve">: All interfund transactions throughout the year are considered essential to fair presentation at the basic financial statement level and should be included in the notes to the financial statements. For interfund transfers, amounts transferred from other funds by individual major fund, non-major governmental funds in the aggregate, non-major enterprise funds in the aggregate, internal service funds in the aggregate, and fiduciary fund type; a </w:t>
            </w:r>
            <w:r w:rsidRPr="004B0DA6">
              <w:rPr>
                <w:rFonts w:ascii="Times New Roman" w:hAnsi="Times New Roman" w:cs="Times New Roman"/>
                <w:sz w:val="24"/>
                <w:szCs w:val="24"/>
                <w:u w:val="single"/>
              </w:rPr>
              <w:t>general</w:t>
            </w:r>
            <w:r w:rsidRPr="004B0DA6">
              <w:rPr>
                <w:rFonts w:ascii="Times New Roman" w:hAnsi="Times New Roman" w:cs="Times New Roman"/>
                <w:sz w:val="24"/>
                <w:szCs w:val="24"/>
              </w:rPr>
              <w:t xml:space="preserve"> description of the principal purposes of interfund transfers; and purposes for and amounts of </w:t>
            </w:r>
            <w:r w:rsidRPr="004B0DA6">
              <w:rPr>
                <w:rFonts w:ascii="Times New Roman" w:hAnsi="Times New Roman" w:cs="Times New Roman"/>
                <w:sz w:val="24"/>
                <w:szCs w:val="24"/>
                <w:u w:val="single"/>
              </w:rPr>
              <w:t>non-routine</w:t>
            </w:r>
            <w:r w:rsidRPr="004B0DA6">
              <w:rPr>
                <w:rFonts w:ascii="Times New Roman" w:hAnsi="Times New Roman" w:cs="Times New Roman"/>
                <w:sz w:val="24"/>
                <w:szCs w:val="24"/>
              </w:rPr>
              <w:t xml:space="preserve"> transfers and/or transfers inconsistent with the activities of the fund making the transfers should be disclosed in the notes.  These provisions should be applied only to </w:t>
            </w:r>
            <w:r w:rsidRPr="004B0DA6">
              <w:rPr>
                <w:rFonts w:ascii="Times New Roman" w:hAnsi="Times New Roman" w:cs="Times New Roman"/>
                <w:i/>
                <w:iCs/>
                <w:sz w:val="24"/>
                <w:szCs w:val="24"/>
              </w:rPr>
              <w:t xml:space="preserve">material </w:t>
            </w:r>
            <w:r w:rsidRPr="004B0DA6">
              <w:rPr>
                <w:rFonts w:ascii="Times New Roman" w:hAnsi="Times New Roman" w:cs="Times New Roman"/>
                <w:sz w:val="24"/>
                <w:szCs w:val="24"/>
              </w:rPr>
              <w:t>items.  The staff of the State and Local Government Finance Division prefers that interfund transfers be listed by individual fund names.</w:t>
            </w:r>
          </w:p>
        </w:tc>
      </w:tr>
    </w:tbl>
    <w:p w14:paraId="3DB063DA" w14:textId="77777777" w:rsidR="00B87835" w:rsidRPr="004B0DA6" w:rsidRDefault="00B87835" w:rsidP="00203597">
      <w:pPr>
        <w:keepLines/>
        <w:spacing w:after="0"/>
        <w:jc w:val="both"/>
        <w:rPr>
          <w:rFonts w:ascii="Times New Roman" w:hAnsi="Times New Roman" w:cs="Times New Roman"/>
          <w:sz w:val="24"/>
        </w:rPr>
      </w:pPr>
    </w:p>
    <w:p w14:paraId="3ED97A3F" w14:textId="77777777" w:rsidR="00B87835" w:rsidRPr="004B0DA6" w:rsidRDefault="00B87835" w:rsidP="00203597">
      <w:pPr>
        <w:keepLines/>
        <w:spacing w:after="0"/>
        <w:jc w:val="both"/>
        <w:rPr>
          <w:rFonts w:ascii="Times New Roman" w:hAnsi="Times New Roman" w:cs="Times New Roman"/>
          <w:sz w:val="24"/>
        </w:rPr>
      </w:pPr>
    </w:p>
    <w:p w14:paraId="630754A0" w14:textId="77777777" w:rsidR="007B7C90" w:rsidRPr="004B0DA6" w:rsidRDefault="007B7C90" w:rsidP="00203597">
      <w:pPr>
        <w:keepLines/>
        <w:spacing w:after="0"/>
        <w:jc w:val="both"/>
        <w:rPr>
          <w:rFonts w:ascii="Times New Roman" w:hAnsi="Times New Roman" w:cs="Times New Roman"/>
          <w:sz w:val="24"/>
        </w:rPr>
      </w:pPr>
    </w:p>
    <w:p w14:paraId="29D5BF96" w14:textId="77777777" w:rsidR="007B7C90" w:rsidRPr="004B0DA6" w:rsidRDefault="007B7C90" w:rsidP="00203597">
      <w:pPr>
        <w:keepLines/>
        <w:spacing w:after="0"/>
        <w:jc w:val="both"/>
        <w:rPr>
          <w:rFonts w:ascii="Times New Roman" w:hAnsi="Times New Roman" w:cs="Times New Roman"/>
          <w:sz w:val="24"/>
        </w:rPr>
      </w:pPr>
    </w:p>
    <w:p w14:paraId="025CE372" w14:textId="77777777" w:rsidR="007B7C90" w:rsidRPr="004B0DA6" w:rsidRDefault="007B7C90" w:rsidP="00203597">
      <w:pPr>
        <w:keepLines/>
        <w:spacing w:after="0"/>
        <w:jc w:val="both"/>
        <w:rPr>
          <w:rFonts w:ascii="Times New Roman" w:hAnsi="Times New Roman" w:cs="Times New Roman"/>
          <w:sz w:val="24"/>
        </w:rPr>
      </w:pPr>
    </w:p>
    <w:p w14:paraId="74FE9057" w14:textId="77777777" w:rsidR="007B7C90" w:rsidRPr="004B0DA6" w:rsidRDefault="007B7C90" w:rsidP="00203597">
      <w:pPr>
        <w:keepLines/>
        <w:spacing w:after="0"/>
        <w:jc w:val="both"/>
        <w:rPr>
          <w:rFonts w:ascii="Times New Roman" w:hAnsi="Times New Roman" w:cs="Times New Roman"/>
          <w:sz w:val="24"/>
        </w:rPr>
      </w:pPr>
    </w:p>
    <w:p w14:paraId="30DF286C" w14:textId="6D12117E" w:rsidR="00DF08D6" w:rsidRPr="004B0DA6" w:rsidRDefault="00DF08D6" w:rsidP="00203597">
      <w:pPr>
        <w:spacing w:after="0"/>
        <w:rPr>
          <w:rFonts w:ascii="Times New Roman" w:hAnsi="Times New Roman" w:cs="Times New Roman"/>
          <w:sz w:val="24"/>
        </w:rPr>
      </w:pPr>
    </w:p>
    <w:p w14:paraId="64CAFD8C" w14:textId="3833A8CA" w:rsidR="0056179C" w:rsidRPr="004B0DA6" w:rsidRDefault="0056179C" w:rsidP="00203597">
      <w:pPr>
        <w:keepLines/>
        <w:spacing w:after="0"/>
        <w:jc w:val="both"/>
        <w:rPr>
          <w:rFonts w:ascii="Times New Roman" w:hAnsi="Times New Roman" w:cs="Times New Roman"/>
          <w:sz w:val="24"/>
          <w:u w:val="single"/>
        </w:rPr>
      </w:pPr>
      <w:r w:rsidRPr="004B0DA6">
        <w:rPr>
          <w:rFonts w:ascii="Times New Roman" w:hAnsi="Times New Roman" w:cs="Times New Roman"/>
          <w:sz w:val="24"/>
        </w:rPr>
        <w:lastRenderedPageBreak/>
        <w:t xml:space="preserve">D. </w:t>
      </w:r>
      <w:r w:rsidRPr="004B0DA6">
        <w:rPr>
          <w:rFonts w:ascii="Times New Roman" w:hAnsi="Times New Roman" w:cs="Times New Roman"/>
          <w:sz w:val="24"/>
          <w:u w:val="single"/>
        </w:rPr>
        <w:t>Extraordinary Event</w:t>
      </w:r>
    </w:p>
    <w:p w14:paraId="5A9FBDD7" w14:textId="6C798B41" w:rsidR="0056179C" w:rsidRPr="004B0DA6" w:rsidRDefault="0056179C" w:rsidP="00203597">
      <w:pPr>
        <w:keepLines/>
        <w:spacing w:after="0"/>
        <w:jc w:val="both"/>
        <w:rPr>
          <w:rFonts w:ascii="Times New Roman" w:hAnsi="Times New Roman" w:cs="Times New Roman"/>
          <w:sz w:val="24"/>
        </w:rPr>
      </w:pPr>
      <w:r w:rsidRPr="004B0DA6">
        <w:rPr>
          <w:rFonts w:ascii="Times New Roman" w:hAnsi="Times New Roman" w:cs="Times New Roman"/>
          <w:sz w:val="24"/>
        </w:rPr>
        <w:t xml:space="preserve">On July 2, </w:t>
      </w:r>
      <w:r w:rsidR="003A7466" w:rsidRPr="004B0DA6">
        <w:rPr>
          <w:rFonts w:ascii="Times New Roman" w:hAnsi="Times New Roman" w:cs="Times New Roman"/>
          <w:sz w:val="24"/>
        </w:rPr>
        <w:t>202</w:t>
      </w:r>
      <w:r w:rsidR="00051060" w:rsidRPr="004B0DA6">
        <w:rPr>
          <w:rFonts w:ascii="Times New Roman" w:hAnsi="Times New Roman" w:cs="Times New Roman"/>
          <w:sz w:val="24"/>
        </w:rPr>
        <w:t>2</w:t>
      </w:r>
      <w:r w:rsidRPr="004B0DA6">
        <w:rPr>
          <w:rFonts w:ascii="Times New Roman" w:hAnsi="Times New Roman" w:cs="Times New Roman"/>
          <w:sz w:val="24"/>
        </w:rPr>
        <w:t>, the City experienced a record-breaking flood and the collapse of the Cardinal Point Dam. The wastewater aerating facility was severely damaged. For the Water and Sewer operation, the city received $3,650,000 in</w:t>
      </w:r>
      <w:r w:rsidR="00051060" w:rsidRPr="004B0DA6">
        <w:rPr>
          <w:rFonts w:ascii="Times New Roman" w:hAnsi="Times New Roman" w:cs="Times New Roman"/>
          <w:sz w:val="24"/>
        </w:rPr>
        <w:t xml:space="preserve"> an</w:t>
      </w:r>
      <w:r w:rsidRPr="004B0DA6">
        <w:rPr>
          <w:rFonts w:ascii="Times New Roman" w:hAnsi="Times New Roman" w:cs="Times New Roman"/>
          <w:sz w:val="24"/>
        </w:rPr>
        <w:t xml:space="preserve"> insurance recovery to offset the asset impairment loss of $2,368,954 resulting in an extraordinary gain of $1,281,046. Restoration cost of $3,800,000 has been capitalized in the Water and Sewer Fund.  Also, the Tarheel Municipal Building was damaged. The city received $325,000 in insurance recovery to offset the asset impairment loss of $268,745 resulting in an increase to miscellaneous revenue of $56,255. Restoration cost of $395,240 has been capitalized for governmental activities.   </w:t>
      </w:r>
    </w:p>
    <w:p w14:paraId="0DE03567" w14:textId="77777777" w:rsidR="00BF6AC5" w:rsidRPr="004B0DA6" w:rsidRDefault="00BF6AC5" w:rsidP="00203597">
      <w:pPr>
        <w:keepLines/>
        <w:spacing w:after="0"/>
        <w:jc w:val="both"/>
        <w:rPr>
          <w:rFonts w:ascii="Times New Roman" w:hAnsi="Times New Roman" w:cs="Times New Roman"/>
          <w:sz w:val="24"/>
        </w:rPr>
      </w:pPr>
    </w:p>
    <w:p w14:paraId="3D42C270" w14:textId="77777777" w:rsidR="0056179C" w:rsidRPr="004B0DA6" w:rsidRDefault="0056179C" w:rsidP="00203597">
      <w:pPr>
        <w:widowControl w:val="0"/>
        <w:pBdr>
          <w:top w:val="thinThickSmallGap" w:sz="24" w:space="1" w:color="auto"/>
          <w:left w:val="thinThickSmallGap" w:sz="24" w:space="4" w:color="auto"/>
          <w:bottom w:val="thinThickSmallGap" w:sz="24" w:space="1" w:color="auto"/>
          <w:right w:val="thinThickSmallGap" w:sz="24" w:space="4" w:color="auto"/>
        </w:pBdr>
        <w:spacing w:after="0"/>
        <w:jc w:val="both"/>
        <w:rPr>
          <w:rFonts w:ascii="Times New Roman" w:hAnsi="Times New Roman" w:cs="Times New Roman"/>
        </w:rPr>
      </w:pPr>
      <w:r w:rsidRPr="004B0DA6">
        <w:rPr>
          <w:rFonts w:ascii="Times New Roman" w:hAnsi="Times New Roman" w:cs="Times New Roman"/>
          <w:b/>
        </w:rPr>
        <w:t>Note to preparer:</w:t>
      </w:r>
      <w:r w:rsidRPr="004B0DA6">
        <w:rPr>
          <w:rFonts w:ascii="Times New Roman" w:hAnsi="Times New Roman" w:cs="Times New Roman"/>
        </w:rPr>
        <w:t xml:space="preserve"> The impairment loss and resulting insurance gain for governmental activities has not been shown as an extraordinary item in the Statement of Activities due to </w:t>
      </w:r>
      <w:r w:rsidRPr="004B0DA6">
        <w:rPr>
          <w:rFonts w:ascii="Times New Roman" w:hAnsi="Times New Roman" w:cs="Times New Roman"/>
          <w:i/>
        </w:rPr>
        <w:t>immateriality</w:t>
      </w:r>
      <w:r w:rsidRPr="004B0DA6">
        <w:rPr>
          <w:rFonts w:ascii="Times New Roman" w:hAnsi="Times New Roman" w:cs="Times New Roman"/>
        </w:rPr>
        <w:t xml:space="preserve">. </w:t>
      </w:r>
    </w:p>
    <w:p w14:paraId="452A1AA7" w14:textId="77777777" w:rsidR="0056179C" w:rsidRPr="004B0DA6" w:rsidRDefault="0056179C" w:rsidP="00203597">
      <w:pPr>
        <w:spacing w:after="0"/>
        <w:rPr>
          <w:rFonts w:ascii="Times New Roman" w:hAnsi="Times New Roman" w:cs="Times New Roman"/>
          <w:sz w:val="24"/>
        </w:rPr>
      </w:pPr>
    </w:p>
    <w:p w14:paraId="61CD469A" w14:textId="6D6D5C66" w:rsidR="0056179C" w:rsidRPr="004B0DA6" w:rsidRDefault="0056179C" w:rsidP="00203597">
      <w:pPr>
        <w:spacing w:after="0"/>
        <w:rPr>
          <w:rFonts w:ascii="Times New Roman" w:hAnsi="Times New Roman" w:cs="Times New Roman"/>
          <w:sz w:val="24"/>
          <w:szCs w:val="24"/>
          <w:u w:val="single"/>
        </w:rPr>
      </w:pPr>
      <w:r w:rsidRPr="004B0DA6">
        <w:rPr>
          <w:rFonts w:ascii="Times New Roman" w:hAnsi="Times New Roman" w:cs="Times New Roman"/>
          <w:sz w:val="24"/>
          <w:szCs w:val="24"/>
        </w:rPr>
        <w:t xml:space="preserve">E.  </w:t>
      </w:r>
      <w:r w:rsidRPr="004B0DA6">
        <w:rPr>
          <w:rFonts w:ascii="Times New Roman" w:hAnsi="Times New Roman" w:cs="Times New Roman"/>
          <w:sz w:val="24"/>
          <w:szCs w:val="24"/>
          <w:u w:val="single"/>
        </w:rPr>
        <w:t>On-Behalf Payments for Fringe Benefits and Salaries</w:t>
      </w:r>
    </w:p>
    <w:p w14:paraId="177EA6CC" w14:textId="77777777" w:rsidR="00BF6AC5" w:rsidRPr="004B0DA6" w:rsidRDefault="00BF6AC5" w:rsidP="00203597">
      <w:pPr>
        <w:spacing w:after="0"/>
        <w:rPr>
          <w:rFonts w:ascii="Times New Roman" w:hAnsi="Times New Roman" w:cs="Times New Roman"/>
          <w:sz w:val="24"/>
          <w:szCs w:val="24"/>
          <w:u w:val="single"/>
        </w:rPr>
      </w:pPr>
    </w:p>
    <w:p w14:paraId="5FDAE1B0" w14:textId="2E7C48BF" w:rsidR="0056179C" w:rsidRPr="004B0DA6" w:rsidRDefault="0056179C" w:rsidP="00203597">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b/>
          <w:sz w:val="24"/>
          <w:szCs w:val="24"/>
        </w:rPr>
        <w:t>Note to preparer</w:t>
      </w:r>
      <w:r w:rsidRPr="004B0DA6">
        <w:rPr>
          <w:rFonts w:ascii="Times New Roman" w:hAnsi="Times New Roman" w:cs="Times New Roman"/>
          <w:sz w:val="24"/>
          <w:szCs w:val="24"/>
        </w:rPr>
        <w:t xml:space="preserve">:  Payments made by the State of North Carolina on behalf of the City of Dogwood have been addressed in the FRSWP note. The amount presented in the supplemental schedule includes on-behalf payments for the Firemen’s Relief Fund.  </w:t>
      </w:r>
    </w:p>
    <w:p w14:paraId="3750828A" w14:textId="77777777" w:rsidR="00BF6AC5" w:rsidRPr="004B0DA6" w:rsidRDefault="00BF6AC5" w:rsidP="00203597">
      <w:pPr>
        <w:pStyle w:val="BodyText2"/>
        <w:rPr>
          <w:rFonts w:ascii="Times New Roman" w:hAnsi="Times New Roman" w:cs="Times New Roman"/>
          <w:sz w:val="24"/>
        </w:rPr>
      </w:pPr>
    </w:p>
    <w:p w14:paraId="6B10F952" w14:textId="0884E4E6" w:rsidR="0056179C" w:rsidRPr="004B0DA6" w:rsidRDefault="0056179C" w:rsidP="00203597">
      <w:pPr>
        <w:pStyle w:val="BodyText2"/>
        <w:rPr>
          <w:rFonts w:ascii="Times New Roman" w:hAnsi="Times New Roman" w:cs="Times New Roman"/>
          <w:sz w:val="24"/>
        </w:rPr>
      </w:pPr>
      <w:r w:rsidRPr="004B0DA6">
        <w:rPr>
          <w:rFonts w:ascii="Times New Roman" w:hAnsi="Times New Roman" w:cs="Times New Roman"/>
          <w:sz w:val="24"/>
        </w:rPr>
        <w:t xml:space="preserve">The City has recognized as a revenue and an expenditure, on-behalf payments for fringe benefits and salaries of $1,540 for the salary supplement and stipend benefits paid to eligible firemen by the local board of trustees of the Firemen’s Relief Fund during the fiscal year ended June 30, </w:t>
      </w:r>
      <w:r w:rsidR="00A85B23" w:rsidRPr="004B0DA6">
        <w:rPr>
          <w:rFonts w:ascii="Times New Roman" w:hAnsi="Times New Roman" w:cs="Times New Roman"/>
          <w:sz w:val="24"/>
        </w:rPr>
        <w:t>202</w:t>
      </w:r>
      <w:r w:rsidR="00817D0A" w:rsidRPr="004B0DA6">
        <w:rPr>
          <w:rFonts w:ascii="Times New Roman" w:hAnsi="Times New Roman" w:cs="Times New Roman"/>
          <w:sz w:val="24"/>
        </w:rPr>
        <w:t>4</w:t>
      </w:r>
      <w:r w:rsidRPr="004B0DA6">
        <w:rPr>
          <w:rFonts w:ascii="Times New Roman" w:hAnsi="Times New Roman" w:cs="Times New Roman"/>
          <w:sz w:val="24"/>
        </w:rPr>
        <w:t>.  Under State law the local board of trustees for the Fund receives an amount each year, which the board may use at its own discretion for eligible firemen or their departments.</w:t>
      </w:r>
      <w:r w:rsidR="00B66A15" w:rsidRPr="004B0DA6">
        <w:rPr>
          <w:rFonts w:ascii="Times New Roman" w:hAnsi="Times New Roman" w:cs="Times New Roman"/>
          <w:sz w:val="24"/>
        </w:rPr>
        <w:t xml:space="preserve"> See Note VI.</w:t>
      </w:r>
      <w:r w:rsidR="003650E5" w:rsidRPr="004B0DA6">
        <w:rPr>
          <w:rFonts w:ascii="Times New Roman" w:hAnsi="Times New Roman" w:cs="Times New Roman"/>
          <w:sz w:val="24"/>
        </w:rPr>
        <w:t>,</w:t>
      </w:r>
      <w:r w:rsidR="00B66A15" w:rsidRPr="004B0DA6">
        <w:rPr>
          <w:rFonts w:ascii="Times New Roman" w:hAnsi="Times New Roman" w:cs="Times New Roman"/>
          <w:sz w:val="24"/>
        </w:rPr>
        <w:t xml:space="preserve"> Joint Ventures</w:t>
      </w:r>
      <w:r w:rsidR="003650E5" w:rsidRPr="004B0DA6">
        <w:rPr>
          <w:rFonts w:ascii="Times New Roman" w:hAnsi="Times New Roman" w:cs="Times New Roman"/>
          <w:sz w:val="24"/>
        </w:rPr>
        <w:t>,</w:t>
      </w:r>
      <w:r w:rsidR="00B66A15" w:rsidRPr="004B0DA6">
        <w:rPr>
          <w:rFonts w:ascii="Times New Roman" w:hAnsi="Times New Roman" w:cs="Times New Roman"/>
          <w:sz w:val="24"/>
        </w:rPr>
        <w:t xml:space="preserve"> for additional discussion of the City’s involvement with the Fireman’s Relief Fund.</w:t>
      </w:r>
    </w:p>
    <w:p w14:paraId="0539BD92" w14:textId="77777777" w:rsidR="0056179C" w:rsidRPr="004B0DA6" w:rsidRDefault="0056179C" w:rsidP="00203597">
      <w:pPr>
        <w:pStyle w:val="BodyText2"/>
        <w:rPr>
          <w:rFonts w:ascii="Times New Roman" w:hAnsi="Times New Roman" w:cs="Times New Roman"/>
          <w:sz w:val="24"/>
        </w:rPr>
      </w:pPr>
    </w:p>
    <w:tbl>
      <w:tblPr>
        <w:tblpPr w:leftFromText="180" w:rightFromText="180" w:vertAnchor="text" w:horzAnchor="margin" w:tblpY="-22"/>
        <w:tblW w:w="9067" w:type="dxa"/>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9067"/>
      </w:tblGrid>
      <w:tr w:rsidR="0056179C" w:rsidRPr="004B0DA6" w14:paraId="5121720E" w14:textId="77777777" w:rsidTr="00F9386B">
        <w:trPr>
          <w:trHeight w:val="932"/>
        </w:trPr>
        <w:tc>
          <w:tcPr>
            <w:tcW w:w="9067" w:type="dxa"/>
          </w:tcPr>
          <w:p w14:paraId="58752C61" w14:textId="1FC885B7"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For employees and volunteers of governmental fire departments, the independent auditor may have to contact the local board of trustees to determine the amount of money the board has paid out for salary supplements and stipends.</w:t>
            </w:r>
          </w:p>
          <w:p w14:paraId="223472B6" w14:textId="77777777"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If payment from the Firemen’s Relief Fund is not made to the government unit, the on-behalf payments paragraph can be excluded from the audit report.  </w:t>
            </w:r>
          </w:p>
        </w:tc>
      </w:tr>
    </w:tbl>
    <w:p w14:paraId="0B2156EF" w14:textId="77777777" w:rsidR="0056179C" w:rsidRPr="004B0DA6" w:rsidRDefault="0056179C" w:rsidP="00203597">
      <w:pPr>
        <w:spacing w:after="0"/>
        <w:rPr>
          <w:rFonts w:ascii="Times New Roman" w:hAnsi="Times New Roman" w:cs="Times New Roman"/>
          <w:b/>
          <w:bCs/>
          <w:highlight w:val="yellow"/>
        </w:rPr>
      </w:pPr>
    </w:p>
    <w:p w14:paraId="347364B4" w14:textId="26ACB2B0" w:rsidR="0056179C" w:rsidRPr="004B0DA6" w:rsidRDefault="0056179C" w:rsidP="00203597">
      <w:pPr>
        <w:keepNext/>
        <w:spacing w:after="0"/>
        <w:rPr>
          <w:rFonts w:ascii="Times New Roman" w:hAnsi="Times New Roman" w:cs="Times New Roman"/>
          <w:b/>
          <w:bCs/>
          <w:sz w:val="24"/>
          <w:szCs w:val="24"/>
        </w:rPr>
      </w:pPr>
      <w:r w:rsidRPr="004B0DA6">
        <w:rPr>
          <w:rFonts w:ascii="Times New Roman" w:hAnsi="Times New Roman" w:cs="Times New Roman"/>
          <w:b/>
          <w:bCs/>
          <w:sz w:val="24"/>
          <w:szCs w:val="24"/>
        </w:rPr>
        <w:t>F. Net Investment in Capital Assets</w:t>
      </w:r>
    </w:p>
    <w:p w14:paraId="4A4FD983" w14:textId="77777777" w:rsidR="00BF6AC5" w:rsidRPr="004B0DA6" w:rsidRDefault="00BF6AC5" w:rsidP="00203597">
      <w:pPr>
        <w:keepNext/>
        <w:spacing w:after="0"/>
        <w:rPr>
          <w:rFonts w:ascii="Times New Roman" w:hAnsi="Times New Roman" w:cs="Times New Roman"/>
          <w:b/>
          <w:bCs/>
          <w:sz w:val="24"/>
          <w:szCs w:val="24"/>
        </w:rPr>
      </w:pPr>
    </w:p>
    <w:p w14:paraId="49EB2402" w14:textId="77777777" w:rsidR="0056179C" w:rsidRPr="004B0DA6" w:rsidRDefault="0056179C" w:rsidP="00203597">
      <w:pPr>
        <w:pBdr>
          <w:top w:val="thickThinSmallGap" w:sz="24" w:space="1" w:color="auto"/>
          <w:left w:val="thickThinSmallGap" w:sz="24" w:space="4" w:color="auto"/>
          <w:bottom w:val="thinThickSmallGap" w:sz="24" w:space="1" w:color="auto"/>
          <w:right w:val="thinThickSmallGap" w:sz="24" w:space="4" w:color="auto"/>
        </w:pBdr>
        <w:spacing w:after="0"/>
        <w:jc w:val="both"/>
        <w:rPr>
          <w:rFonts w:ascii="Times New Roman" w:hAnsi="Times New Roman" w:cs="Times New Roman"/>
          <w:bCs/>
          <w:sz w:val="24"/>
          <w:szCs w:val="24"/>
        </w:rPr>
      </w:pPr>
      <w:r w:rsidRPr="004B0DA6">
        <w:rPr>
          <w:rFonts w:ascii="Times New Roman" w:hAnsi="Times New Roman" w:cs="Times New Roman"/>
          <w:b/>
          <w:bCs/>
          <w:sz w:val="24"/>
          <w:szCs w:val="24"/>
        </w:rPr>
        <w:t xml:space="preserve">Note to preparer:  </w:t>
      </w:r>
      <w:r w:rsidRPr="004B0DA6">
        <w:rPr>
          <w:rFonts w:ascii="Times New Roman" w:hAnsi="Times New Roman" w:cs="Times New Roman"/>
          <w:bCs/>
          <w:sz w:val="24"/>
          <w:szCs w:val="24"/>
        </w:rPr>
        <w:t xml:space="preserve">If the net investment in capital assets amount is not easily determinable based on the amounts presented in the basic financial statements, please submit a calculation.  It may be submitted in a document separate from the audit submission. </w:t>
      </w:r>
    </w:p>
    <w:p w14:paraId="5CD139AA" w14:textId="77777777" w:rsidR="0056179C" w:rsidRPr="004B0DA6" w:rsidRDefault="0056179C" w:rsidP="00203597">
      <w:pPr>
        <w:spacing w:after="0"/>
        <w:rPr>
          <w:rFonts w:ascii="Times New Roman" w:hAnsi="Times New Roman" w:cs="Times New Roman"/>
          <w:b/>
          <w:bCs/>
        </w:rPr>
      </w:pPr>
    </w:p>
    <w:p w14:paraId="0A3A9F0A" w14:textId="74584CAE" w:rsidR="0056179C" w:rsidRPr="004B0DA6" w:rsidRDefault="0056179C" w:rsidP="00203597">
      <w:pPr>
        <w:keepNext/>
        <w:spacing w:after="0"/>
        <w:rPr>
          <w:rFonts w:ascii="Times New Roman" w:hAnsi="Times New Roman" w:cs="Times New Roman"/>
          <w:b/>
          <w:bCs/>
          <w:sz w:val="24"/>
          <w:szCs w:val="24"/>
        </w:rPr>
      </w:pPr>
      <w:r w:rsidRPr="004B0DA6">
        <w:rPr>
          <w:rFonts w:ascii="Times New Roman" w:hAnsi="Times New Roman" w:cs="Times New Roman"/>
          <w:b/>
          <w:bCs/>
          <w:sz w:val="24"/>
          <w:szCs w:val="24"/>
        </w:rPr>
        <w:lastRenderedPageBreak/>
        <w:t>G. Fund Balance</w:t>
      </w:r>
    </w:p>
    <w:p w14:paraId="7A82A419" w14:textId="77777777" w:rsidR="00BF6AC5" w:rsidRPr="004B0DA6" w:rsidRDefault="00BF6AC5" w:rsidP="00203597">
      <w:pPr>
        <w:keepNext/>
        <w:spacing w:after="0"/>
        <w:rPr>
          <w:rFonts w:ascii="Times New Roman" w:hAnsi="Times New Roman" w:cs="Times New Roman"/>
          <w:b/>
          <w:bCs/>
          <w:sz w:val="24"/>
          <w:szCs w:val="24"/>
        </w:rPr>
      </w:pPr>
    </w:p>
    <w:p w14:paraId="78CB5DA5" w14:textId="503554D4" w:rsidR="0056179C" w:rsidRPr="004B0DA6" w:rsidRDefault="0056179C" w:rsidP="00203597">
      <w:pPr>
        <w:keepNext/>
        <w:spacing w:after="0"/>
        <w:jc w:val="both"/>
        <w:rPr>
          <w:rFonts w:ascii="Times New Roman" w:hAnsi="Times New Roman" w:cs="Times New Roman"/>
          <w:sz w:val="24"/>
          <w:szCs w:val="24"/>
        </w:rPr>
      </w:pPr>
      <w:r w:rsidRPr="004B0DA6">
        <w:rPr>
          <w:rFonts w:ascii="Times New Roman" w:hAnsi="Times New Roman" w:cs="Times New Roman"/>
          <w:bCs/>
          <w:sz w:val="24"/>
          <w:szCs w:val="24"/>
        </w:rPr>
        <w:t>The following schedule provides management and citizens with information on the portion of General fund balance that is available for appropriation:</w:t>
      </w:r>
    </w:p>
    <w:tbl>
      <w:tblPr>
        <w:tblW w:w="6480" w:type="dxa"/>
        <w:tblBorders>
          <w:top w:val="single" w:sz="12" w:space="0" w:color="000000"/>
          <w:bottom w:val="single" w:sz="12" w:space="0" w:color="000000"/>
        </w:tblBorders>
        <w:tblLook w:val="04A0" w:firstRow="1" w:lastRow="0" w:firstColumn="1" w:lastColumn="0" w:noHBand="0" w:noVBand="1"/>
      </w:tblPr>
      <w:tblGrid>
        <w:gridCol w:w="4968"/>
        <w:gridCol w:w="1512"/>
      </w:tblGrid>
      <w:tr w:rsidR="0056179C" w:rsidRPr="004B0DA6" w14:paraId="4D59CFEB" w14:textId="77777777" w:rsidTr="0012373D">
        <w:trPr>
          <w:trHeight w:val="300"/>
        </w:trPr>
        <w:tc>
          <w:tcPr>
            <w:tcW w:w="4968" w:type="dxa"/>
            <w:tcBorders>
              <w:top w:val="nil"/>
              <w:bottom w:val="nil"/>
              <w:right w:val="nil"/>
            </w:tcBorders>
            <w:shd w:val="clear" w:color="auto" w:fill="auto"/>
            <w:noWrap/>
            <w:hideMark/>
          </w:tcPr>
          <w:p w14:paraId="2CD4865E" w14:textId="77777777" w:rsidR="0056179C" w:rsidRPr="004B0DA6" w:rsidRDefault="0056179C" w:rsidP="00203597">
            <w:pPr>
              <w:spacing w:after="0" w:line="240" w:lineRule="auto"/>
              <w:rPr>
                <w:rFonts w:ascii="Times New Roman" w:eastAsia="Times New Roman" w:hAnsi="Times New Roman" w:cs="Times New Roman"/>
                <w:sz w:val="24"/>
                <w:szCs w:val="24"/>
              </w:rPr>
            </w:pPr>
          </w:p>
          <w:p w14:paraId="70338EB3"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Total fund balance-General Fund</w:t>
            </w:r>
          </w:p>
        </w:tc>
        <w:tc>
          <w:tcPr>
            <w:tcW w:w="1512" w:type="dxa"/>
            <w:tcBorders>
              <w:top w:val="nil"/>
              <w:left w:val="nil"/>
              <w:bottom w:val="nil"/>
            </w:tcBorders>
            <w:shd w:val="clear" w:color="auto" w:fill="auto"/>
            <w:noWrap/>
            <w:hideMark/>
          </w:tcPr>
          <w:p w14:paraId="04F65EF8" w14:textId="77777777" w:rsidR="0056179C" w:rsidRPr="004B0DA6" w:rsidRDefault="0056179C" w:rsidP="00203597">
            <w:pPr>
              <w:spacing w:after="0" w:line="240" w:lineRule="auto"/>
              <w:rPr>
                <w:rFonts w:ascii="Times New Roman" w:eastAsia="Times New Roman" w:hAnsi="Times New Roman" w:cs="Times New Roman"/>
                <w:sz w:val="24"/>
                <w:szCs w:val="24"/>
              </w:rPr>
            </w:pPr>
          </w:p>
          <w:p w14:paraId="7AA5FFF8" w14:textId="01477E38"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w:t>
            </w:r>
            <w:r w:rsidR="00213452" w:rsidRPr="004B0DA6">
              <w:rPr>
                <w:rFonts w:ascii="Times New Roman" w:eastAsia="Times New Roman" w:hAnsi="Times New Roman" w:cs="Times New Roman"/>
                <w:sz w:val="24"/>
                <w:szCs w:val="24"/>
              </w:rPr>
              <w:t>606</w:t>
            </w:r>
            <w:r w:rsidR="00446E1B" w:rsidRPr="004B0DA6">
              <w:rPr>
                <w:rFonts w:ascii="Times New Roman" w:eastAsia="Times New Roman" w:hAnsi="Times New Roman" w:cs="Times New Roman"/>
                <w:sz w:val="24"/>
                <w:szCs w:val="24"/>
              </w:rPr>
              <w:t>,</w:t>
            </w:r>
            <w:r w:rsidR="00213452" w:rsidRPr="004B0DA6">
              <w:rPr>
                <w:rFonts w:ascii="Times New Roman" w:eastAsia="Times New Roman" w:hAnsi="Times New Roman" w:cs="Times New Roman"/>
                <w:sz w:val="24"/>
                <w:szCs w:val="24"/>
              </w:rPr>
              <w:t>909</w:t>
            </w:r>
          </w:p>
        </w:tc>
      </w:tr>
      <w:tr w:rsidR="0056179C" w:rsidRPr="004B0DA6" w14:paraId="16F168F7" w14:textId="77777777" w:rsidTr="0012373D">
        <w:trPr>
          <w:trHeight w:val="300"/>
        </w:trPr>
        <w:tc>
          <w:tcPr>
            <w:tcW w:w="4968" w:type="dxa"/>
            <w:tcBorders>
              <w:top w:val="nil"/>
              <w:bottom w:val="nil"/>
              <w:right w:val="nil"/>
            </w:tcBorders>
            <w:shd w:val="clear" w:color="auto" w:fill="auto"/>
            <w:noWrap/>
            <w:hideMark/>
          </w:tcPr>
          <w:p w14:paraId="098A49E9"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Less: </w:t>
            </w:r>
          </w:p>
        </w:tc>
        <w:tc>
          <w:tcPr>
            <w:tcW w:w="1512" w:type="dxa"/>
            <w:tcBorders>
              <w:top w:val="nil"/>
              <w:left w:val="nil"/>
              <w:bottom w:val="nil"/>
            </w:tcBorders>
            <w:shd w:val="clear" w:color="auto" w:fill="auto"/>
            <w:noWrap/>
            <w:hideMark/>
          </w:tcPr>
          <w:p w14:paraId="19421377" w14:textId="77777777" w:rsidR="0056179C" w:rsidRPr="004B0DA6" w:rsidRDefault="0056179C" w:rsidP="00203597">
            <w:pPr>
              <w:spacing w:after="0" w:line="240" w:lineRule="auto"/>
              <w:rPr>
                <w:rFonts w:ascii="Times New Roman" w:eastAsia="Times New Roman" w:hAnsi="Times New Roman" w:cs="Times New Roman"/>
                <w:sz w:val="24"/>
                <w:szCs w:val="24"/>
              </w:rPr>
            </w:pPr>
          </w:p>
        </w:tc>
      </w:tr>
      <w:tr w:rsidR="0056179C" w:rsidRPr="004B0DA6" w14:paraId="4D849FE3" w14:textId="77777777" w:rsidTr="0012373D">
        <w:trPr>
          <w:trHeight w:val="300"/>
        </w:trPr>
        <w:tc>
          <w:tcPr>
            <w:tcW w:w="4968" w:type="dxa"/>
            <w:tcBorders>
              <w:top w:val="nil"/>
              <w:bottom w:val="nil"/>
              <w:right w:val="nil"/>
            </w:tcBorders>
            <w:shd w:val="clear" w:color="auto" w:fill="auto"/>
            <w:noWrap/>
            <w:hideMark/>
          </w:tcPr>
          <w:p w14:paraId="46549011"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Inventories </w:t>
            </w:r>
          </w:p>
        </w:tc>
        <w:tc>
          <w:tcPr>
            <w:tcW w:w="1512" w:type="dxa"/>
            <w:tcBorders>
              <w:top w:val="nil"/>
              <w:left w:val="nil"/>
              <w:bottom w:val="nil"/>
            </w:tcBorders>
            <w:shd w:val="clear" w:color="auto" w:fill="auto"/>
            <w:noWrap/>
            <w:hideMark/>
          </w:tcPr>
          <w:p w14:paraId="3527A8D4"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1,245</w:t>
            </w:r>
          </w:p>
        </w:tc>
      </w:tr>
      <w:tr w:rsidR="00446E1B" w:rsidRPr="004B0DA6" w14:paraId="09805E16" w14:textId="77777777" w:rsidTr="00447731">
        <w:trPr>
          <w:trHeight w:val="252"/>
        </w:trPr>
        <w:tc>
          <w:tcPr>
            <w:tcW w:w="4968" w:type="dxa"/>
            <w:tcBorders>
              <w:top w:val="nil"/>
              <w:bottom w:val="nil"/>
              <w:right w:val="nil"/>
            </w:tcBorders>
            <w:shd w:val="clear" w:color="auto" w:fill="auto"/>
            <w:noWrap/>
          </w:tcPr>
          <w:p w14:paraId="3A81BFF4" w14:textId="159B5928" w:rsidR="00446E1B" w:rsidRPr="004B0DA6" w:rsidRDefault="00446E1B"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Leases</w:t>
            </w:r>
          </w:p>
        </w:tc>
        <w:tc>
          <w:tcPr>
            <w:tcW w:w="1512" w:type="dxa"/>
            <w:tcBorders>
              <w:top w:val="nil"/>
              <w:left w:val="nil"/>
              <w:bottom w:val="nil"/>
            </w:tcBorders>
            <w:shd w:val="clear" w:color="auto" w:fill="auto"/>
            <w:noWrap/>
          </w:tcPr>
          <w:p w14:paraId="1EADB834" w14:textId="12A64D40" w:rsidR="00446E1B" w:rsidRPr="004B0DA6" w:rsidRDefault="00446E1B"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61</w:t>
            </w:r>
          </w:p>
        </w:tc>
      </w:tr>
      <w:tr w:rsidR="0056179C" w:rsidRPr="004B0DA6" w14:paraId="13E77306" w14:textId="77777777" w:rsidTr="0012373D">
        <w:trPr>
          <w:trHeight w:val="300"/>
        </w:trPr>
        <w:tc>
          <w:tcPr>
            <w:tcW w:w="4968" w:type="dxa"/>
            <w:tcBorders>
              <w:top w:val="nil"/>
              <w:bottom w:val="nil"/>
              <w:right w:val="nil"/>
            </w:tcBorders>
            <w:shd w:val="clear" w:color="auto" w:fill="auto"/>
            <w:noWrap/>
            <w:hideMark/>
          </w:tcPr>
          <w:p w14:paraId="73F69D41"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Stabilization by State Statute </w:t>
            </w:r>
          </w:p>
        </w:tc>
        <w:tc>
          <w:tcPr>
            <w:tcW w:w="1512" w:type="dxa"/>
            <w:tcBorders>
              <w:top w:val="nil"/>
              <w:left w:val="nil"/>
              <w:bottom w:val="nil"/>
            </w:tcBorders>
            <w:shd w:val="clear" w:color="auto" w:fill="auto"/>
            <w:noWrap/>
            <w:hideMark/>
          </w:tcPr>
          <w:p w14:paraId="56FBC5FE" w14:textId="5D166F2B" w:rsidR="0056179C" w:rsidRPr="004B0DA6" w:rsidRDefault="00DE162F"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133</w:t>
            </w:r>
            <w:r w:rsidR="0056179C" w:rsidRPr="004B0DA6">
              <w:rPr>
                <w:rFonts w:ascii="Times New Roman" w:eastAsia="Times New Roman" w:hAnsi="Times New Roman" w:cs="Times New Roman"/>
                <w:sz w:val="24"/>
                <w:szCs w:val="24"/>
              </w:rPr>
              <w:t>,</w:t>
            </w:r>
            <w:r w:rsidRPr="004B0DA6">
              <w:rPr>
                <w:rFonts w:ascii="Times New Roman" w:eastAsia="Times New Roman" w:hAnsi="Times New Roman" w:cs="Times New Roman"/>
                <w:sz w:val="24"/>
                <w:szCs w:val="24"/>
              </w:rPr>
              <w:t>379</w:t>
            </w:r>
          </w:p>
        </w:tc>
      </w:tr>
      <w:tr w:rsidR="0056179C" w:rsidRPr="004B0DA6" w14:paraId="02967546" w14:textId="77777777" w:rsidTr="0012373D">
        <w:trPr>
          <w:trHeight w:val="300"/>
        </w:trPr>
        <w:tc>
          <w:tcPr>
            <w:tcW w:w="4968" w:type="dxa"/>
            <w:tcBorders>
              <w:top w:val="nil"/>
              <w:bottom w:val="nil"/>
              <w:right w:val="nil"/>
            </w:tcBorders>
            <w:shd w:val="clear" w:color="auto" w:fill="auto"/>
            <w:noWrap/>
            <w:hideMark/>
          </w:tcPr>
          <w:p w14:paraId="3134672D"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Streets-Powell Bill </w:t>
            </w:r>
          </w:p>
        </w:tc>
        <w:tc>
          <w:tcPr>
            <w:tcW w:w="1512" w:type="dxa"/>
            <w:tcBorders>
              <w:top w:val="nil"/>
              <w:left w:val="nil"/>
              <w:bottom w:val="nil"/>
            </w:tcBorders>
            <w:shd w:val="clear" w:color="auto" w:fill="auto"/>
            <w:noWrap/>
            <w:hideMark/>
          </w:tcPr>
          <w:p w14:paraId="4266F374"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4,084 </w:t>
            </w:r>
          </w:p>
        </w:tc>
      </w:tr>
      <w:tr w:rsidR="0056179C" w:rsidRPr="004B0DA6" w14:paraId="56C5A466" w14:textId="77777777" w:rsidTr="0012373D">
        <w:trPr>
          <w:trHeight w:val="300"/>
        </w:trPr>
        <w:tc>
          <w:tcPr>
            <w:tcW w:w="4968" w:type="dxa"/>
            <w:tcBorders>
              <w:top w:val="nil"/>
              <w:bottom w:val="nil"/>
              <w:right w:val="nil"/>
            </w:tcBorders>
            <w:shd w:val="clear" w:color="auto" w:fill="auto"/>
            <w:noWrap/>
            <w:hideMark/>
          </w:tcPr>
          <w:p w14:paraId="611DA085" w14:textId="6D4E0060"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Appropriated Fund Balance in </w:t>
            </w:r>
            <w:r w:rsidR="00A85B23" w:rsidRPr="004B0DA6">
              <w:rPr>
                <w:rFonts w:ascii="Times New Roman" w:eastAsia="Times New Roman" w:hAnsi="Times New Roman" w:cs="Times New Roman"/>
                <w:sz w:val="24"/>
                <w:szCs w:val="24"/>
              </w:rPr>
              <w:t>202</w:t>
            </w:r>
            <w:r w:rsidR="00817D0A" w:rsidRPr="004B0DA6">
              <w:rPr>
                <w:rFonts w:ascii="Times New Roman" w:eastAsia="Times New Roman" w:hAnsi="Times New Roman" w:cs="Times New Roman"/>
                <w:sz w:val="24"/>
                <w:szCs w:val="24"/>
              </w:rPr>
              <w:t>4</w:t>
            </w:r>
            <w:r w:rsidRPr="004B0DA6">
              <w:rPr>
                <w:rFonts w:ascii="Times New Roman" w:eastAsia="Times New Roman" w:hAnsi="Times New Roman" w:cs="Times New Roman"/>
                <w:sz w:val="24"/>
                <w:szCs w:val="24"/>
              </w:rPr>
              <w:t xml:space="preserve"> budget </w:t>
            </w:r>
          </w:p>
        </w:tc>
        <w:tc>
          <w:tcPr>
            <w:tcW w:w="1512" w:type="dxa"/>
            <w:tcBorders>
              <w:top w:val="nil"/>
              <w:left w:val="nil"/>
              <w:bottom w:val="nil"/>
            </w:tcBorders>
            <w:shd w:val="clear" w:color="auto" w:fill="auto"/>
            <w:noWrap/>
            <w:hideMark/>
          </w:tcPr>
          <w:p w14:paraId="48A400F5"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76,541</w:t>
            </w:r>
          </w:p>
        </w:tc>
      </w:tr>
      <w:tr w:rsidR="0056179C" w:rsidRPr="004B0DA6" w14:paraId="4040B756" w14:textId="77777777" w:rsidTr="0012373D">
        <w:trPr>
          <w:trHeight w:val="300"/>
        </w:trPr>
        <w:tc>
          <w:tcPr>
            <w:tcW w:w="4968" w:type="dxa"/>
            <w:tcBorders>
              <w:top w:val="nil"/>
              <w:bottom w:val="nil"/>
              <w:right w:val="nil"/>
            </w:tcBorders>
            <w:shd w:val="clear" w:color="auto" w:fill="auto"/>
            <w:noWrap/>
            <w:hideMark/>
          </w:tcPr>
          <w:p w14:paraId="7740BE62"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Economic Development </w:t>
            </w:r>
          </w:p>
          <w:p w14:paraId="09D4B3EF"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Working Capital / Fund Balance Policy  </w:t>
            </w:r>
          </w:p>
        </w:tc>
        <w:tc>
          <w:tcPr>
            <w:tcW w:w="1512" w:type="dxa"/>
            <w:tcBorders>
              <w:top w:val="nil"/>
              <w:left w:val="nil"/>
              <w:bottom w:val="single" w:sz="4" w:space="0" w:color="auto"/>
            </w:tcBorders>
            <w:shd w:val="clear" w:color="auto" w:fill="auto"/>
            <w:noWrap/>
            <w:hideMark/>
          </w:tcPr>
          <w:p w14:paraId="400794E4"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53,912</w:t>
            </w:r>
          </w:p>
          <w:p w14:paraId="7DE7CA16"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128,170</w:t>
            </w:r>
          </w:p>
        </w:tc>
      </w:tr>
      <w:tr w:rsidR="0056179C" w:rsidRPr="004B0DA6" w14:paraId="0B625535" w14:textId="77777777" w:rsidTr="0012373D">
        <w:trPr>
          <w:trHeight w:val="315"/>
        </w:trPr>
        <w:tc>
          <w:tcPr>
            <w:tcW w:w="4968" w:type="dxa"/>
            <w:tcBorders>
              <w:top w:val="nil"/>
              <w:bottom w:val="nil"/>
              <w:right w:val="nil"/>
            </w:tcBorders>
            <w:shd w:val="clear" w:color="auto" w:fill="auto"/>
            <w:noWrap/>
            <w:hideMark/>
          </w:tcPr>
          <w:p w14:paraId="0DC63623"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Remaining Fund Balance </w:t>
            </w:r>
          </w:p>
        </w:tc>
        <w:tc>
          <w:tcPr>
            <w:tcW w:w="1512" w:type="dxa"/>
            <w:tcBorders>
              <w:top w:val="single" w:sz="4" w:space="0" w:color="auto"/>
              <w:left w:val="nil"/>
              <w:bottom w:val="double" w:sz="4" w:space="0" w:color="auto"/>
            </w:tcBorders>
            <w:shd w:val="clear" w:color="auto" w:fill="auto"/>
            <w:noWrap/>
            <w:hideMark/>
          </w:tcPr>
          <w:p w14:paraId="081792AB" w14:textId="59136FB4" w:rsidR="0056179C" w:rsidRPr="004B0DA6" w:rsidRDefault="0012373D"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w:t>
            </w:r>
            <w:r w:rsidR="00F142CF" w:rsidRPr="004B0DA6">
              <w:rPr>
                <w:rFonts w:ascii="Times New Roman" w:eastAsia="Times New Roman" w:hAnsi="Times New Roman" w:cs="Times New Roman"/>
                <w:sz w:val="24"/>
                <w:szCs w:val="24"/>
              </w:rPr>
              <w:t>209</w:t>
            </w:r>
            <w:r w:rsidR="00DE162F" w:rsidRPr="004B0DA6">
              <w:rPr>
                <w:rFonts w:ascii="Times New Roman" w:eastAsia="Times New Roman" w:hAnsi="Times New Roman" w:cs="Times New Roman"/>
                <w:sz w:val="24"/>
                <w:szCs w:val="24"/>
              </w:rPr>
              <w:t>,</w:t>
            </w:r>
            <w:r w:rsidR="00F142CF" w:rsidRPr="004B0DA6">
              <w:rPr>
                <w:rFonts w:ascii="Times New Roman" w:eastAsia="Times New Roman" w:hAnsi="Times New Roman" w:cs="Times New Roman"/>
                <w:sz w:val="24"/>
                <w:szCs w:val="24"/>
              </w:rPr>
              <w:t>517</w:t>
            </w:r>
          </w:p>
        </w:tc>
      </w:tr>
    </w:tbl>
    <w:p w14:paraId="566B96BD" w14:textId="77777777" w:rsidR="0056179C" w:rsidRPr="004B0DA6" w:rsidRDefault="0056179C" w:rsidP="00203597">
      <w:pPr>
        <w:spacing w:after="0"/>
        <w:jc w:val="both"/>
        <w:rPr>
          <w:rFonts w:ascii="Times New Roman" w:hAnsi="Times New Roman" w:cs="Times New Roman"/>
          <w:sz w:val="24"/>
          <w:szCs w:val="24"/>
        </w:rPr>
      </w:pPr>
    </w:p>
    <w:p w14:paraId="47F080E1" w14:textId="411A4D6D"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The City of Dogwood has adopted a minimum fund balance policy for the General Fund which instructs management to conduct the business of the City in such a manner that available fund balance is at least equal to or greater than 5% of budgeted expenditures.</w:t>
      </w:r>
    </w:p>
    <w:p w14:paraId="291912A2" w14:textId="77777777" w:rsidR="00E840AC" w:rsidRPr="004B0DA6" w:rsidRDefault="00E840AC" w:rsidP="00203597">
      <w:pPr>
        <w:spacing w:after="0"/>
        <w:jc w:val="both"/>
        <w:rPr>
          <w:rFonts w:ascii="Times New Roman" w:hAnsi="Times New Roman" w:cs="Times New Roman"/>
          <w:sz w:val="24"/>
          <w:szCs w:val="24"/>
        </w:rPr>
      </w:pPr>
    </w:p>
    <w:p w14:paraId="649F2F10" w14:textId="49DD5486" w:rsidR="00E840AC" w:rsidRPr="004B0DA6" w:rsidRDefault="0056179C" w:rsidP="007A4AD5">
      <w:pPr>
        <w:pBdr>
          <w:top w:val="thinThickThinSmallGap" w:sz="24" w:space="1" w:color="auto"/>
          <w:left w:val="thinThickThinSmallGap" w:sz="24" w:space="4" w:color="auto"/>
          <w:bottom w:val="thinThickThinSmallGap" w:sz="24" w:space="5" w:color="auto"/>
          <w:right w:val="thin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b/>
          <w:sz w:val="24"/>
          <w:szCs w:val="24"/>
        </w:rPr>
        <w:t>Note to Preparer:</w:t>
      </w:r>
      <w:r w:rsidRPr="004B0DA6">
        <w:rPr>
          <w:rFonts w:ascii="Times New Roman" w:hAnsi="Times New Roman" w:cs="Times New Roman"/>
          <w:sz w:val="24"/>
          <w:szCs w:val="24"/>
        </w:rPr>
        <w:t xml:space="preserve">  The above schedule is prepared from the General Fund Balance Sheet as presented in the basic financial statements.  Each restriction, commitment, and assignment of fund balance should be included in the calculation above.</w:t>
      </w:r>
    </w:p>
    <w:p w14:paraId="6B28CF7F" w14:textId="77777777" w:rsidR="00AF373B" w:rsidRPr="004B0DA6" w:rsidRDefault="00AF373B" w:rsidP="007A4AD5">
      <w:pPr>
        <w:pBdr>
          <w:top w:val="thinThickThinSmallGap" w:sz="24" w:space="1" w:color="auto"/>
          <w:left w:val="thinThickThinSmallGap" w:sz="24" w:space="4" w:color="auto"/>
          <w:bottom w:val="thinThickThinSmallGap" w:sz="24" w:space="5" w:color="auto"/>
          <w:right w:val="thinThickThinSmallGap" w:sz="24" w:space="4" w:color="auto"/>
        </w:pBdr>
        <w:spacing w:after="0"/>
        <w:jc w:val="both"/>
        <w:rPr>
          <w:rFonts w:ascii="Times New Roman" w:hAnsi="Times New Roman" w:cs="Times New Roman"/>
          <w:sz w:val="24"/>
          <w:szCs w:val="24"/>
        </w:rPr>
      </w:pPr>
    </w:p>
    <w:p w14:paraId="6E69B220" w14:textId="64716540" w:rsidR="0056179C" w:rsidRPr="004B0DA6" w:rsidRDefault="0056179C" w:rsidP="007A4AD5">
      <w:pPr>
        <w:pBdr>
          <w:top w:val="thinThickThinSmallGap" w:sz="24" w:space="1" w:color="auto"/>
          <w:left w:val="thinThickThinSmallGap" w:sz="24" w:space="4" w:color="auto"/>
          <w:bottom w:val="thinThickThinSmallGap" w:sz="24" w:space="5" w:color="auto"/>
          <w:right w:val="thin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unit should also include any other items that the board authorized even if it is included in unassigned fund balance on the Balance Sheet.  This is where the unit can disclose any fund balance policies and subtract it from the remaining amount.  In this example the fund balance policy is included in unassigned fund balance.  In unusual circumstances fund balance policies can be included in Committed Fund Balance.  For more information on GASB 54 components of fund balance please review </w:t>
      </w:r>
      <w:hyperlink r:id="rId89" w:history="1">
        <w:r w:rsidR="00AF373B" w:rsidRPr="004B0DA6">
          <w:rPr>
            <w:rFonts w:ascii="Times New Roman" w:hAnsi="Times New Roman" w:cs="Times New Roman"/>
            <w:color w:val="0000FF"/>
            <w:sz w:val="24"/>
            <w:szCs w:val="24"/>
            <w:u w:val="single"/>
          </w:rPr>
          <w:t>Memorandum #2010-35 GASB Statement No. 54 Fund Balance Reporting and Governmental Fund type Definitions - Part 2– Components of Fund Balance</w:t>
        </w:r>
      </w:hyperlink>
      <w:r w:rsidRPr="004B0DA6">
        <w:rPr>
          <w:rFonts w:ascii="Times New Roman" w:hAnsi="Times New Roman" w:cs="Times New Roman"/>
          <w:sz w:val="24"/>
          <w:szCs w:val="24"/>
        </w:rPr>
        <w:t xml:space="preserve"> on our website.  </w:t>
      </w:r>
    </w:p>
    <w:p w14:paraId="0D8BF375" w14:textId="77777777" w:rsidR="00AF373B" w:rsidRPr="004B0DA6" w:rsidRDefault="00AF373B" w:rsidP="007A4AD5">
      <w:pPr>
        <w:pBdr>
          <w:top w:val="thinThickThinSmallGap" w:sz="24" w:space="1" w:color="auto"/>
          <w:left w:val="thinThickThinSmallGap" w:sz="24" w:space="4" w:color="auto"/>
          <w:bottom w:val="thinThickThinSmallGap" w:sz="24" w:space="5" w:color="auto"/>
          <w:right w:val="thinThickThinSmallGap" w:sz="24" w:space="4" w:color="auto"/>
        </w:pBdr>
        <w:spacing w:after="0"/>
        <w:jc w:val="both"/>
        <w:rPr>
          <w:rFonts w:ascii="Times New Roman" w:hAnsi="Times New Roman" w:cs="Times New Roman"/>
          <w:sz w:val="24"/>
          <w:szCs w:val="24"/>
        </w:rPr>
      </w:pPr>
    </w:p>
    <w:p w14:paraId="514468A7" w14:textId="288B92D0" w:rsidR="00E840AC" w:rsidRPr="004B0DA6" w:rsidRDefault="0056179C" w:rsidP="00AF373B">
      <w:pPr>
        <w:pBdr>
          <w:top w:val="thinThickThinSmallGap" w:sz="24" w:space="1" w:color="auto"/>
          <w:left w:val="thinThickThinSmallGap" w:sz="24" w:space="4" w:color="auto"/>
          <w:bottom w:val="thinThickThinSmallGap" w:sz="24" w:space="5" w:color="auto"/>
          <w:right w:val="thin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unit is also required to disclose the dollar amount of outstanding encumbrances for all major funds and non-major funds in the aggregate.  Outstanding encumbrances are not shown on the face of the statement but are included in Stabilization by State Statute (RSS); however, in funds other than the General Fund they might be shown as some other restricted amount.  In either case the amount of significant outstanding encumbrances must be disclosed for </w:t>
      </w:r>
      <w:r w:rsidRPr="004B0DA6">
        <w:rPr>
          <w:rFonts w:ascii="Times New Roman" w:hAnsi="Times New Roman" w:cs="Times New Roman"/>
          <w:b/>
          <w:sz w:val="24"/>
          <w:szCs w:val="24"/>
        </w:rPr>
        <w:t>each major fund</w:t>
      </w:r>
      <w:r w:rsidRPr="004B0DA6">
        <w:rPr>
          <w:rFonts w:ascii="Times New Roman" w:hAnsi="Times New Roman" w:cs="Times New Roman"/>
          <w:sz w:val="24"/>
          <w:szCs w:val="24"/>
        </w:rPr>
        <w:t xml:space="preserve"> and in the </w:t>
      </w:r>
      <w:r w:rsidRPr="004B0DA6">
        <w:rPr>
          <w:rFonts w:ascii="Times New Roman" w:hAnsi="Times New Roman" w:cs="Times New Roman"/>
          <w:b/>
          <w:sz w:val="24"/>
          <w:szCs w:val="24"/>
        </w:rPr>
        <w:t>aggregate for non-major funds</w:t>
      </w:r>
      <w:r w:rsidRPr="004B0DA6">
        <w:rPr>
          <w:rFonts w:ascii="Times New Roman" w:hAnsi="Times New Roman" w:cs="Times New Roman"/>
          <w:sz w:val="24"/>
          <w:szCs w:val="24"/>
        </w:rPr>
        <w:t>.  Below is an example of such disclosure.</w:t>
      </w:r>
      <w:r w:rsidR="00E840AC" w:rsidRPr="004B0DA6">
        <w:rPr>
          <w:rFonts w:ascii="Times New Roman" w:hAnsi="Times New Roman" w:cs="Times New Roman"/>
          <w:sz w:val="24"/>
          <w:szCs w:val="24"/>
        </w:rPr>
        <w:t xml:space="preserve"> T</w:t>
      </w:r>
      <w:r w:rsidRPr="004B0DA6">
        <w:rPr>
          <w:rFonts w:ascii="Times New Roman" w:hAnsi="Times New Roman" w:cs="Times New Roman"/>
          <w:sz w:val="24"/>
          <w:szCs w:val="24"/>
        </w:rPr>
        <w:t>he outstanding encumbrances are amounts needed to pay any commitments related to purchase orders and contracts that remain unperformed at year-end.</w:t>
      </w:r>
    </w:p>
    <w:p w14:paraId="756F0353" w14:textId="77777777" w:rsidR="00AF373B" w:rsidRPr="004B0DA6" w:rsidRDefault="00AF373B" w:rsidP="00AF373B">
      <w:pPr>
        <w:pBdr>
          <w:top w:val="thinThickThinSmallGap" w:sz="24" w:space="1" w:color="auto"/>
          <w:left w:val="thinThickThinSmallGap" w:sz="24" w:space="4" w:color="auto"/>
          <w:bottom w:val="thinThickThinSmallGap" w:sz="24" w:space="5" w:color="auto"/>
          <w:right w:val="thinThickThinSmallGap" w:sz="24" w:space="4" w:color="auto"/>
        </w:pBdr>
        <w:spacing w:after="0"/>
        <w:jc w:val="both"/>
        <w:rPr>
          <w:rFonts w:ascii="Times New Roman" w:hAnsi="Times New Roman" w:cs="Times New Roman"/>
          <w:sz w:val="24"/>
          <w:szCs w:val="24"/>
        </w:rPr>
      </w:pPr>
    </w:p>
    <w:p w14:paraId="2C4AB1A9" w14:textId="77777777" w:rsidR="00AF373B" w:rsidRPr="004B0DA6" w:rsidRDefault="00AF373B" w:rsidP="007A4AD5">
      <w:pPr>
        <w:pBdr>
          <w:top w:val="thinThickThinSmallGap" w:sz="24" w:space="1" w:color="auto"/>
          <w:left w:val="thinThickThinSmallGap" w:sz="24" w:space="4" w:color="auto"/>
          <w:bottom w:val="thinThickThinSmallGap" w:sz="24" w:space="5" w:color="auto"/>
          <w:right w:val="thinThickThinSmallGap" w:sz="24" w:space="4" w:color="auto"/>
        </w:pBdr>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2447"/>
        <w:gridCol w:w="2447"/>
        <w:gridCol w:w="2447"/>
      </w:tblGrid>
      <w:tr w:rsidR="00E840AC" w:rsidRPr="004B0DA6" w14:paraId="2BEC1976" w14:textId="77777777" w:rsidTr="008973F3">
        <w:trPr>
          <w:trHeight w:val="284"/>
        </w:trPr>
        <w:tc>
          <w:tcPr>
            <w:tcW w:w="2447" w:type="dxa"/>
            <w:tcBorders>
              <w:right w:val="single" w:sz="6" w:space="0" w:color="808080"/>
            </w:tcBorders>
          </w:tcPr>
          <w:p w14:paraId="486FA9B5" w14:textId="77777777" w:rsidR="00E840AC" w:rsidRPr="004B0DA6" w:rsidRDefault="00E840AC" w:rsidP="008973F3">
            <w:pPr>
              <w:spacing w:after="0"/>
              <w:jc w:val="center"/>
              <w:rPr>
                <w:rFonts w:ascii="Times New Roman" w:hAnsi="Times New Roman" w:cs="Times New Roman"/>
                <w:b/>
                <w:bCs/>
                <w:i/>
                <w:iCs/>
                <w:sz w:val="24"/>
                <w:szCs w:val="24"/>
              </w:rPr>
            </w:pPr>
            <w:r w:rsidRPr="004B0DA6">
              <w:rPr>
                <w:rFonts w:ascii="Times New Roman" w:hAnsi="Times New Roman" w:cs="Times New Roman"/>
                <w:b/>
                <w:bCs/>
                <w:i/>
                <w:iCs/>
                <w:sz w:val="24"/>
                <w:szCs w:val="24"/>
              </w:rPr>
              <w:lastRenderedPageBreak/>
              <w:t>Encumbrances</w:t>
            </w:r>
          </w:p>
        </w:tc>
        <w:tc>
          <w:tcPr>
            <w:tcW w:w="2447" w:type="dxa"/>
          </w:tcPr>
          <w:p w14:paraId="7ECE52D3" w14:textId="77777777" w:rsidR="00E840AC" w:rsidRPr="004B0DA6" w:rsidRDefault="00E840AC" w:rsidP="008973F3">
            <w:pPr>
              <w:spacing w:after="0"/>
              <w:jc w:val="center"/>
              <w:rPr>
                <w:rFonts w:ascii="Times New Roman" w:hAnsi="Times New Roman" w:cs="Times New Roman"/>
                <w:b/>
                <w:bCs/>
                <w:i/>
                <w:iCs/>
                <w:sz w:val="24"/>
                <w:szCs w:val="24"/>
              </w:rPr>
            </w:pPr>
            <w:r w:rsidRPr="004B0DA6">
              <w:rPr>
                <w:rFonts w:ascii="Times New Roman" w:hAnsi="Times New Roman" w:cs="Times New Roman"/>
                <w:b/>
                <w:bCs/>
                <w:i/>
                <w:iCs/>
                <w:sz w:val="24"/>
                <w:szCs w:val="24"/>
              </w:rPr>
              <w:t>General Fund</w:t>
            </w:r>
          </w:p>
        </w:tc>
        <w:tc>
          <w:tcPr>
            <w:tcW w:w="2447" w:type="dxa"/>
          </w:tcPr>
          <w:p w14:paraId="4C4C7332" w14:textId="77777777" w:rsidR="00E840AC" w:rsidRPr="004B0DA6" w:rsidRDefault="00E840AC" w:rsidP="008973F3">
            <w:pPr>
              <w:spacing w:after="0"/>
              <w:jc w:val="center"/>
              <w:rPr>
                <w:rFonts w:ascii="Times New Roman" w:hAnsi="Times New Roman" w:cs="Times New Roman"/>
                <w:b/>
                <w:bCs/>
                <w:i/>
                <w:iCs/>
                <w:sz w:val="24"/>
                <w:szCs w:val="24"/>
              </w:rPr>
            </w:pPr>
            <w:r w:rsidRPr="004B0DA6">
              <w:rPr>
                <w:rFonts w:ascii="Times New Roman" w:hAnsi="Times New Roman" w:cs="Times New Roman"/>
                <w:b/>
                <w:bCs/>
                <w:i/>
                <w:iCs/>
                <w:sz w:val="24"/>
                <w:szCs w:val="24"/>
              </w:rPr>
              <w:t>Non-Major Funds</w:t>
            </w:r>
          </w:p>
        </w:tc>
      </w:tr>
      <w:tr w:rsidR="00E840AC" w:rsidRPr="004B0DA6" w14:paraId="0AB4C45D" w14:textId="77777777" w:rsidTr="008973F3">
        <w:trPr>
          <w:trHeight w:val="299"/>
        </w:trPr>
        <w:tc>
          <w:tcPr>
            <w:tcW w:w="2447" w:type="dxa"/>
            <w:tcBorders>
              <w:top w:val="single" w:sz="6" w:space="0" w:color="808080"/>
              <w:right w:val="single" w:sz="6" w:space="0" w:color="808080"/>
            </w:tcBorders>
          </w:tcPr>
          <w:p w14:paraId="1B99849C" w14:textId="77777777" w:rsidR="00E840AC" w:rsidRPr="004B0DA6" w:rsidRDefault="00E840AC" w:rsidP="008973F3">
            <w:pPr>
              <w:spacing w:after="0"/>
              <w:jc w:val="center"/>
              <w:rPr>
                <w:rFonts w:ascii="Times New Roman" w:hAnsi="Times New Roman" w:cs="Times New Roman"/>
                <w:b/>
                <w:bCs/>
                <w:sz w:val="24"/>
                <w:szCs w:val="24"/>
              </w:rPr>
            </w:pPr>
          </w:p>
        </w:tc>
        <w:tc>
          <w:tcPr>
            <w:tcW w:w="2447" w:type="dxa"/>
            <w:tcBorders>
              <w:top w:val="single" w:sz="6" w:space="0" w:color="808080"/>
              <w:bottom w:val="single" w:sz="6" w:space="0" w:color="FFFFFF"/>
            </w:tcBorders>
          </w:tcPr>
          <w:p w14:paraId="6B8105BF" w14:textId="77777777" w:rsidR="00E840AC" w:rsidRPr="004B0DA6" w:rsidRDefault="00E840AC" w:rsidP="008973F3">
            <w:pPr>
              <w:spacing w:after="0"/>
              <w:jc w:val="center"/>
              <w:rPr>
                <w:rFonts w:ascii="Times New Roman" w:hAnsi="Times New Roman" w:cs="Times New Roman"/>
                <w:sz w:val="24"/>
                <w:szCs w:val="24"/>
              </w:rPr>
            </w:pPr>
            <w:r w:rsidRPr="004B0DA6">
              <w:rPr>
                <w:rFonts w:ascii="Times New Roman" w:hAnsi="Times New Roman" w:cs="Times New Roman"/>
                <w:sz w:val="24"/>
                <w:szCs w:val="24"/>
              </w:rPr>
              <w:t>$10,450</w:t>
            </w:r>
          </w:p>
        </w:tc>
        <w:tc>
          <w:tcPr>
            <w:tcW w:w="2447" w:type="dxa"/>
            <w:tcBorders>
              <w:top w:val="single" w:sz="6" w:space="0" w:color="808080"/>
              <w:bottom w:val="single" w:sz="6" w:space="0" w:color="FFFFFF"/>
            </w:tcBorders>
          </w:tcPr>
          <w:p w14:paraId="4FC66F9D" w14:textId="77777777" w:rsidR="00E840AC" w:rsidRPr="004B0DA6" w:rsidRDefault="00E840AC" w:rsidP="008973F3">
            <w:pPr>
              <w:spacing w:after="0"/>
              <w:jc w:val="center"/>
              <w:rPr>
                <w:rFonts w:ascii="Times New Roman" w:hAnsi="Times New Roman" w:cs="Times New Roman"/>
                <w:sz w:val="24"/>
                <w:szCs w:val="24"/>
              </w:rPr>
            </w:pPr>
            <w:r w:rsidRPr="004B0DA6">
              <w:rPr>
                <w:rFonts w:ascii="Times New Roman" w:hAnsi="Times New Roman" w:cs="Times New Roman"/>
                <w:sz w:val="24"/>
                <w:szCs w:val="24"/>
              </w:rPr>
              <w:t>$0</w:t>
            </w:r>
          </w:p>
        </w:tc>
      </w:tr>
    </w:tbl>
    <w:p w14:paraId="53DDCD98" w14:textId="77777777" w:rsidR="00E840AC" w:rsidRPr="004B0DA6" w:rsidRDefault="00E840AC" w:rsidP="00E840AC">
      <w:pPr>
        <w:spacing w:after="0"/>
        <w:rPr>
          <w:rFonts w:ascii="Times New Roman" w:hAnsi="Times New Roman" w:cs="Times New Roman"/>
          <w:sz w:val="24"/>
          <w:szCs w:val="24"/>
          <w:highlight w:val="yellow"/>
        </w:rPr>
      </w:pPr>
    </w:p>
    <w:p w14:paraId="36000C60" w14:textId="3A2A5FD3" w:rsidR="0056179C" w:rsidRPr="004B0DA6" w:rsidRDefault="00E840AC" w:rsidP="00203597">
      <w:pPr>
        <w:pBdr>
          <w:top w:val="thickThinSmallGap" w:sz="24" w:space="1" w:color="auto"/>
          <w:left w:val="thickThinSmallGap" w:sz="24" w:space="4" w:color="auto"/>
          <w:bottom w:val="thinThickSmallGap" w:sz="24" w:space="1" w:color="auto"/>
          <w:right w:val="thinThickSmallGap" w:sz="24" w:space="4" w:color="auto"/>
        </w:pBdr>
        <w:spacing w:after="0"/>
        <w:rPr>
          <w:rFonts w:ascii="Times New Roman" w:hAnsi="Times New Roman" w:cs="Times New Roman"/>
          <w:sz w:val="24"/>
          <w:szCs w:val="24"/>
        </w:rPr>
      </w:pPr>
      <w:r w:rsidRPr="004B0DA6">
        <w:rPr>
          <w:rFonts w:ascii="Times New Roman" w:hAnsi="Times New Roman" w:cs="Times New Roman"/>
          <w:b/>
          <w:bCs/>
          <w:sz w:val="24"/>
          <w:szCs w:val="24"/>
        </w:rPr>
        <w:t>N</w:t>
      </w:r>
      <w:r w:rsidR="0056179C" w:rsidRPr="004B0DA6">
        <w:rPr>
          <w:rFonts w:ascii="Times New Roman" w:hAnsi="Times New Roman" w:cs="Times New Roman"/>
          <w:b/>
          <w:bCs/>
          <w:sz w:val="24"/>
          <w:szCs w:val="24"/>
        </w:rPr>
        <w:t>ote to preparer</w:t>
      </w:r>
      <w:r w:rsidR="0056179C" w:rsidRPr="004B0DA6">
        <w:rPr>
          <w:rFonts w:ascii="Times New Roman" w:hAnsi="Times New Roman" w:cs="Times New Roman"/>
          <w:sz w:val="24"/>
          <w:szCs w:val="24"/>
        </w:rPr>
        <w:t>: General Fund encumbrances should include those for the legally adopted general fund as well as any funds consolidated into the general fund for a GAAP presentation in accordance with GASB Statement No. 54.</w:t>
      </w:r>
    </w:p>
    <w:p w14:paraId="3AE79964" w14:textId="77777777" w:rsidR="0056179C" w:rsidRPr="004B0DA6" w:rsidRDefault="0056179C" w:rsidP="00203597">
      <w:pPr>
        <w:spacing w:after="0"/>
        <w:rPr>
          <w:rFonts w:ascii="Times New Roman" w:hAnsi="Times New Roman" w:cs="Times New Roman"/>
        </w:rPr>
      </w:pPr>
    </w:p>
    <w:p w14:paraId="756D4892" w14:textId="0E36FB3A" w:rsidR="0056179C" w:rsidRPr="004B0DA6" w:rsidRDefault="0056179C" w:rsidP="00203597">
      <w:pPr>
        <w:keepNext/>
        <w:spacing w:after="0"/>
        <w:jc w:val="both"/>
        <w:rPr>
          <w:rFonts w:ascii="Times New Roman" w:hAnsi="Times New Roman" w:cs="Times New Roman"/>
          <w:b/>
          <w:bCs/>
          <w:sz w:val="24"/>
          <w:szCs w:val="24"/>
          <w:u w:val="single"/>
        </w:rPr>
      </w:pPr>
      <w:r w:rsidRPr="004B0DA6">
        <w:rPr>
          <w:rFonts w:ascii="Times New Roman" w:hAnsi="Times New Roman" w:cs="Times New Roman"/>
          <w:b/>
          <w:bCs/>
          <w:sz w:val="24"/>
          <w:szCs w:val="24"/>
        </w:rPr>
        <w:t xml:space="preserve">IV. </w:t>
      </w:r>
      <w:r w:rsidRPr="004B0DA6">
        <w:rPr>
          <w:rFonts w:ascii="Times New Roman" w:hAnsi="Times New Roman" w:cs="Times New Roman"/>
          <w:b/>
          <w:bCs/>
          <w:sz w:val="24"/>
          <w:szCs w:val="24"/>
          <w:u w:val="single"/>
        </w:rPr>
        <w:t>Segment Information</w:t>
      </w:r>
    </w:p>
    <w:p w14:paraId="6E5089BA" w14:textId="77777777" w:rsidR="00E840AC" w:rsidRPr="004B0DA6" w:rsidRDefault="00E840AC" w:rsidP="00203597">
      <w:pPr>
        <w:keepNext/>
        <w:spacing w:after="0"/>
        <w:jc w:val="both"/>
        <w:rPr>
          <w:rFonts w:ascii="Times New Roman" w:hAnsi="Times New Roman" w:cs="Times New Roman"/>
          <w:b/>
          <w:bCs/>
          <w:sz w:val="24"/>
          <w:szCs w:val="24"/>
        </w:rPr>
      </w:pPr>
    </w:p>
    <w:tbl>
      <w:tblPr>
        <w:tblW w:w="9672" w:type="dxa"/>
        <w:tblInd w:w="-240" w:type="dxa"/>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9672"/>
      </w:tblGrid>
      <w:tr w:rsidR="0056179C" w:rsidRPr="004B0DA6" w14:paraId="3BE12F7F" w14:textId="77777777" w:rsidTr="007A4AD5">
        <w:trPr>
          <w:trHeight w:val="1668"/>
        </w:trPr>
        <w:tc>
          <w:tcPr>
            <w:tcW w:w="9672" w:type="dxa"/>
          </w:tcPr>
          <w:p w14:paraId="7C8600FF" w14:textId="77777777" w:rsidR="0056179C" w:rsidRPr="004B0DA6" w:rsidRDefault="0056179C" w:rsidP="00203597">
            <w:pPr>
              <w:pStyle w:val="BodyText"/>
              <w:keepNext/>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xml:space="preserve">: Be alert if a non-major proprietary fund has revenue-backed debt.  Segment information is only required for enterprise funds with revenue-backed debt outstanding if the fund is not presented as major or when the segment does not encompass the entire fund.  In disclosing segment information, present the type of goods or services; a condensed statement of net position; a condensed statement of revenues, expenses, and changes in net position; and a condensed statement of cash flows.  See paragraph 122 of GASB Statement 34 for more details. </w:t>
            </w:r>
          </w:p>
        </w:tc>
      </w:tr>
    </w:tbl>
    <w:p w14:paraId="059CAD46" w14:textId="77777777" w:rsidR="0056179C" w:rsidRPr="004B0DA6" w:rsidRDefault="0056179C" w:rsidP="00203597">
      <w:pPr>
        <w:spacing w:after="0"/>
        <w:rPr>
          <w:rFonts w:ascii="Times New Roman" w:hAnsi="Times New Roman" w:cs="Times New Roman"/>
          <w:b/>
          <w:bCs/>
          <w:sz w:val="24"/>
          <w:szCs w:val="24"/>
        </w:rPr>
      </w:pPr>
    </w:p>
    <w:p w14:paraId="085C7345" w14:textId="22C0A47A" w:rsidR="0056179C" w:rsidRPr="004B0DA6" w:rsidRDefault="0056179C" w:rsidP="00203597">
      <w:pPr>
        <w:keepNext/>
        <w:spacing w:after="0"/>
        <w:rPr>
          <w:rFonts w:ascii="Times New Roman" w:hAnsi="Times New Roman" w:cs="Times New Roman"/>
          <w:b/>
          <w:bCs/>
          <w:sz w:val="24"/>
          <w:szCs w:val="24"/>
          <w:u w:val="single"/>
        </w:rPr>
      </w:pPr>
      <w:r w:rsidRPr="004B0DA6">
        <w:rPr>
          <w:rFonts w:ascii="Times New Roman" w:hAnsi="Times New Roman" w:cs="Times New Roman"/>
          <w:b/>
          <w:bCs/>
          <w:sz w:val="24"/>
          <w:szCs w:val="24"/>
        </w:rPr>
        <w:t xml:space="preserve">V. </w:t>
      </w:r>
      <w:r w:rsidRPr="004B0DA6">
        <w:rPr>
          <w:rFonts w:ascii="Times New Roman" w:hAnsi="Times New Roman" w:cs="Times New Roman"/>
          <w:b/>
          <w:bCs/>
          <w:sz w:val="24"/>
          <w:szCs w:val="24"/>
          <w:u w:val="single"/>
        </w:rPr>
        <w:t>Jointly Governed Organization</w:t>
      </w:r>
    </w:p>
    <w:p w14:paraId="53729231" w14:textId="77777777" w:rsidR="00E840AC" w:rsidRPr="004B0DA6" w:rsidRDefault="00E840AC" w:rsidP="00203597">
      <w:pPr>
        <w:keepNext/>
        <w:spacing w:after="0"/>
        <w:rPr>
          <w:rFonts w:ascii="Times New Roman" w:hAnsi="Times New Roman" w:cs="Times New Roman"/>
          <w:sz w:val="24"/>
          <w:szCs w:val="24"/>
        </w:rPr>
      </w:pPr>
    </w:p>
    <w:p w14:paraId="5DBED895" w14:textId="6D46242F" w:rsidR="0056179C" w:rsidRPr="004B0DA6" w:rsidRDefault="0056179C" w:rsidP="00203597">
      <w:pPr>
        <w:keepNext/>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City, in conjunction with twenty other local governments, is a member of the North Carolina City Electric Agency (Electric Agency).  The Electric Agency was formed to enable municipalities that own electric distribution systems to finance, construct, own, operate, and maintain generation and transmission facilities.  Each participating government appoints one commissioner to the Electric Agency's governing board.  The twenty-one members, who receive power from the Electric Agency, have signed power sales agreements to purchase a specified share of the power generated by the Electric Agency.  Except for the power sales purchase requirements, no local government participant has any obligation, entitlement, or residual interest.  The City's purchases of power for the fiscal year ended June 30, </w:t>
      </w:r>
      <w:r w:rsidR="00A85B23" w:rsidRPr="004B0DA6">
        <w:rPr>
          <w:rFonts w:ascii="Times New Roman" w:hAnsi="Times New Roman" w:cs="Times New Roman"/>
          <w:sz w:val="24"/>
          <w:szCs w:val="24"/>
        </w:rPr>
        <w:t>202</w:t>
      </w:r>
      <w:r w:rsidR="00817D0A" w:rsidRPr="004B0DA6">
        <w:rPr>
          <w:rFonts w:ascii="Times New Roman" w:hAnsi="Times New Roman" w:cs="Times New Roman"/>
          <w:sz w:val="24"/>
          <w:szCs w:val="24"/>
        </w:rPr>
        <w:t>4</w:t>
      </w:r>
      <w:r w:rsidRPr="004B0DA6">
        <w:rPr>
          <w:rFonts w:ascii="Times New Roman" w:hAnsi="Times New Roman" w:cs="Times New Roman"/>
          <w:sz w:val="24"/>
          <w:szCs w:val="24"/>
        </w:rPr>
        <w:t>, were $2,379,120.</w:t>
      </w:r>
    </w:p>
    <w:p w14:paraId="5CEA93BB" w14:textId="77777777" w:rsidR="0056179C" w:rsidRPr="004B0DA6" w:rsidRDefault="0056179C" w:rsidP="00203597">
      <w:pPr>
        <w:spacing w:after="0"/>
        <w:jc w:val="both"/>
        <w:rPr>
          <w:rFonts w:ascii="Times New Roman" w:hAnsi="Times New Roman" w:cs="Times New Roman"/>
          <w:sz w:val="24"/>
          <w:szCs w:val="24"/>
        </w:rPr>
      </w:pPr>
    </w:p>
    <w:p w14:paraId="2E325E74" w14:textId="36E71A68" w:rsidR="0056179C" w:rsidRPr="004B0DA6" w:rsidRDefault="0056179C" w:rsidP="00E840AC">
      <w:pPr>
        <w:pStyle w:val="BodyText2"/>
        <w:jc w:val="both"/>
        <w:rPr>
          <w:rFonts w:ascii="Times New Roman" w:hAnsi="Times New Roman" w:cs="Times New Roman"/>
          <w:sz w:val="24"/>
        </w:rPr>
      </w:pPr>
      <w:r w:rsidRPr="004B0DA6">
        <w:rPr>
          <w:rFonts w:ascii="Times New Roman" w:hAnsi="Times New Roman" w:cs="Times New Roman"/>
          <w:sz w:val="24"/>
        </w:rPr>
        <w:t xml:space="preserve">The City, in conjunction with five counties and thirty-eight other municipalities established the Red Bird Council of Governments (Council).  The participating governments established the Council to coordinate various funding received from federal and State agencies.  Each participating government appoints one member to the Council's governing board.  The City paid membership fees of $5,000 to the Council during the fiscal year ended June 30, </w:t>
      </w:r>
      <w:r w:rsidR="00A85B23" w:rsidRPr="004B0DA6">
        <w:rPr>
          <w:rFonts w:ascii="Times New Roman" w:hAnsi="Times New Roman" w:cs="Times New Roman"/>
          <w:sz w:val="24"/>
        </w:rPr>
        <w:t>202</w:t>
      </w:r>
      <w:r w:rsidR="00817D0A" w:rsidRPr="004B0DA6">
        <w:rPr>
          <w:rFonts w:ascii="Times New Roman" w:hAnsi="Times New Roman" w:cs="Times New Roman"/>
          <w:sz w:val="24"/>
        </w:rPr>
        <w:t>4</w:t>
      </w:r>
      <w:r w:rsidRPr="004B0DA6">
        <w:rPr>
          <w:rFonts w:ascii="Times New Roman" w:hAnsi="Times New Roman" w:cs="Times New Roman"/>
          <w:sz w:val="24"/>
        </w:rPr>
        <w:t>.</w:t>
      </w:r>
    </w:p>
    <w:p w14:paraId="20DF7B98" w14:textId="77777777" w:rsidR="000954D4" w:rsidRPr="004B0DA6" w:rsidRDefault="000954D4" w:rsidP="00E840AC">
      <w:pPr>
        <w:spacing w:after="0"/>
        <w:jc w:val="both"/>
        <w:rPr>
          <w:rFonts w:ascii="Times New Roman" w:hAnsi="Times New Roman" w:cs="Times New Roman"/>
          <w:sz w:val="24"/>
        </w:rPr>
      </w:pPr>
    </w:p>
    <w:p w14:paraId="33D84D8B" w14:textId="6AAD777D" w:rsidR="0056179C" w:rsidRPr="004B0DA6" w:rsidRDefault="0056179C" w:rsidP="00203597">
      <w:pPr>
        <w:spacing w:after="0"/>
        <w:rPr>
          <w:rFonts w:ascii="Times New Roman" w:hAnsi="Times New Roman" w:cs="Times New Roman"/>
          <w:b/>
          <w:bCs/>
          <w:sz w:val="24"/>
          <w:szCs w:val="24"/>
          <w:u w:val="single"/>
        </w:rPr>
      </w:pPr>
      <w:r w:rsidRPr="004B0DA6">
        <w:rPr>
          <w:rFonts w:ascii="Times New Roman" w:hAnsi="Times New Roman" w:cs="Times New Roman"/>
          <w:b/>
          <w:bCs/>
          <w:sz w:val="24"/>
          <w:szCs w:val="24"/>
        </w:rPr>
        <w:t xml:space="preserve">VI. </w:t>
      </w:r>
      <w:r w:rsidRPr="004B0DA6">
        <w:rPr>
          <w:rFonts w:ascii="Times New Roman" w:hAnsi="Times New Roman" w:cs="Times New Roman"/>
          <w:b/>
          <w:bCs/>
          <w:sz w:val="24"/>
          <w:szCs w:val="24"/>
          <w:u w:val="single"/>
        </w:rPr>
        <w:t>Joint Ventures</w:t>
      </w:r>
    </w:p>
    <w:p w14:paraId="1BCDE9A7" w14:textId="77777777" w:rsidR="00E840AC" w:rsidRPr="004B0DA6" w:rsidRDefault="00E840AC" w:rsidP="00203597">
      <w:pPr>
        <w:spacing w:after="0"/>
        <w:rPr>
          <w:rFonts w:ascii="Times New Roman" w:hAnsi="Times New Roman" w:cs="Times New Roman"/>
          <w:b/>
          <w:bCs/>
          <w:sz w:val="24"/>
          <w:szCs w:val="24"/>
        </w:rPr>
      </w:pPr>
    </w:p>
    <w:p w14:paraId="4CAF78BF" w14:textId="4C816378"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City, in conjunction with Carolina County, participates in a regional airport.  Each participating government appoints three members to the six-member board.  The Airport is a joint venture established to facilitate economic expansion within the County and improve the quality of life for its citizens.  The Airport has been in existence for five years, but it is not yet self-sustaining.  The City has an ongoing financial responsibility for the Airport because it and the County are legally obligated under the intergovernmental agreement that created the Airport to honor any </w:t>
      </w:r>
      <w:r w:rsidRPr="004B0DA6">
        <w:rPr>
          <w:rFonts w:ascii="Times New Roman" w:hAnsi="Times New Roman" w:cs="Times New Roman"/>
          <w:sz w:val="24"/>
          <w:szCs w:val="24"/>
        </w:rPr>
        <w:lastRenderedPageBreak/>
        <w:t xml:space="preserve">deficiencies in the event proceeds from other default remedies are insufficient.  The City contributed $51,876 to the Airport during the fiscal year ended June 30, </w:t>
      </w:r>
      <w:r w:rsidR="00A85B23" w:rsidRPr="004B0DA6">
        <w:rPr>
          <w:rFonts w:ascii="Times New Roman" w:hAnsi="Times New Roman" w:cs="Times New Roman"/>
          <w:sz w:val="24"/>
          <w:szCs w:val="24"/>
        </w:rPr>
        <w:t>202</w:t>
      </w:r>
      <w:r w:rsidR="00817D0A" w:rsidRPr="004B0DA6">
        <w:rPr>
          <w:rFonts w:ascii="Times New Roman" w:hAnsi="Times New Roman" w:cs="Times New Roman"/>
          <w:sz w:val="24"/>
          <w:szCs w:val="24"/>
        </w:rPr>
        <w:t>4</w:t>
      </w:r>
      <w:r w:rsidRPr="004B0DA6">
        <w:rPr>
          <w:rFonts w:ascii="Times New Roman" w:hAnsi="Times New Roman" w:cs="Times New Roman"/>
          <w:sz w:val="24"/>
          <w:szCs w:val="24"/>
        </w:rPr>
        <w:t xml:space="preserve">.  The participating governments do not have any equity interest in the joint venture, so no equity interest has been reflected in the financial statements at June 30, </w:t>
      </w:r>
      <w:r w:rsidR="00A85B23" w:rsidRPr="004B0DA6">
        <w:rPr>
          <w:rFonts w:ascii="Times New Roman" w:hAnsi="Times New Roman" w:cs="Times New Roman"/>
          <w:sz w:val="24"/>
          <w:szCs w:val="24"/>
        </w:rPr>
        <w:t>202</w:t>
      </w:r>
      <w:r w:rsidR="00817D0A" w:rsidRPr="004B0DA6">
        <w:rPr>
          <w:rFonts w:ascii="Times New Roman" w:hAnsi="Times New Roman" w:cs="Times New Roman"/>
          <w:sz w:val="24"/>
          <w:szCs w:val="24"/>
        </w:rPr>
        <w:t>4</w:t>
      </w:r>
      <w:r w:rsidRPr="004B0DA6">
        <w:rPr>
          <w:rFonts w:ascii="Times New Roman" w:hAnsi="Times New Roman" w:cs="Times New Roman"/>
          <w:sz w:val="24"/>
          <w:szCs w:val="24"/>
        </w:rPr>
        <w:t>.  Complete financial statements for the Airport can be obtained from the Airport's administrative offices at 0000 Runway Avenue, Dogwood, North Carolina 00000.</w:t>
      </w:r>
    </w:p>
    <w:p w14:paraId="442A880F" w14:textId="77777777" w:rsidR="00E840AC" w:rsidRPr="004B0DA6" w:rsidRDefault="00E840AC" w:rsidP="00203597">
      <w:pPr>
        <w:pStyle w:val="BodyText2"/>
        <w:rPr>
          <w:rFonts w:ascii="Times New Roman" w:hAnsi="Times New Roman" w:cs="Times New Roman"/>
          <w:sz w:val="24"/>
        </w:rPr>
      </w:pPr>
    </w:p>
    <w:p w14:paraId="02B80265" w14:textId="1AD1C697" w:rsidR="0056179C" w:rsidRPr="004B0DA6" w:rsidRDefault="0056179C" w:rsidP="00E840AC">
      <w:pPr>
        <w:pStyle w:val="BodyText2"/>
        <w:jc w:val="both"/>
        <w:rPr>
          <w:rFonts w:ascii="Times New Roman" w:hAnsi="Times New Roman" w:cs="Times New Roman"/>
          <w:sz w:val="24"/>
        </w:rPr>
      </w:pPr>
      <w:r w:rsidRPr="004B0DA6">
        <w:rPr>
          <w:rFonts w:ascii="Times New Roman" w:hAnsi="Times New Roman" w:cs="Times New Roman"/>
          <w:sz w:val="24"/>
        </w:rPr>
        <w:t xml:space="preserve">The City also participates in a joint venture to operate a regional library with five other local governments.  Each participating government appoints one board member to the six-member board of the Library.  The City has an ongoing financial responsibility for the joint venture because the Library's continued existence depends on the participating governments' continued funding.  None of the participating governments have any equity interest in the Library, so no equity interest has been reflected in the financial statements at June 30, </w:t>
      </w:r>
      <w:r w:rsidR="00A85B23" w:rsidRPr="004B0DA6">
        <w:rPr>
          <w:rFonts w:ascii="Times New Roman" w:hAnsi="Times New Roman" w:cs="Times New Roman"/>
          <w:sz w:val="24"/>
        </w:rPr>
        <w:t>202</w:t>
      </w:r>
      <w:r w:rsidR="00817D0A" w:rsidRPr="004B0DA6">
        <w:rPr>
          <w:rFonts w:ascii="Times New Roman" w:hAnsi="Times New Roman" w:cs="Times New Roman"/>
          <w:sz w:val="24"/>
        </w:rPr>
        <w:t>4</w:t>
      </w:r>
      <w:r w:rsidRPr="004B0DA6">
        <w:rPr>
          <w:rFonts w:ascii="Times New Roman" w:hAnsi="Times New Roman" w:cs="Times New Roman"/>
          <w:sz w:val="24"/>
        </w:rPr>
        <w:t xml:space="preserve">.  In accordance with the intergovernmental agreement between the participating governments, the City appropriated $15,860 to the Library to supplement its activities.  Complete financial statements for the Library can be obtained from the Library's offices at 0001 Periodical Road, Dogwood, North Carolina 00000.  </w:t>
      </w:r>
    </w:p>
    <w:p w14:paraId="68408959" w14:textId="77777777" w:rsidR="0056179C" w:rsidRPr="004B0DA6" w:rsidRDefault="0056179C" w:rsidP="00E840AC">
      <w:pPr>
        <w:pStyle w:val="BodyText2"/>
        <w:jc w:val="both"/>
        <w:rPr>
          <w:rFonts w:ascii="Times New Roman" w:hAnsi="Times New Roman" w:cs="Times New Roman"/>
          <w:sz w:val="24"/>
        </w:rPr>
      </w:pPr>
    </w:p>
    <w:p w14:paraId="0EE1FF11" w14:textId="76398206" w:rsidR="0056179C" w:rsidRPr="004B0DA6" w:rsidRDefault="0056179C" w:rsidP="00E840AC">
      <w:pPr>
        <w:pStyle w:val="BodyText2"/>
        <w:jc w:val="both"/>
        <w:rPr>
          <w:rFonts w:ascii="Times New Roman" w:hAnsi="Times New Roman" w:cs="Times New Roman"/>
          <w:sz w:val="24"/>
        </w:rPr>
      </w:pPr>
      <w:r w:rsidRPr="004B0DA6">
        <w:rPr>
          <w:rFonts w:ascii="Times New Roman" w:hAnsi="Times New Roman" w:cs="Times New Roman"/>
          <w:sz w:val="24"/>
        </w:rPr>
        <w:t xml:space="preserve">The City and the members of the City’s fire department each appoint two members to the five-member local board of trustees for the Firemen’s Relief Fund.  The State Insurance Commissioner appoints one additional member to the local board of trustees.  The Firemen’s Relief Fund is funded by a portion of the fire and lightning insurance premiums that insurers remit to the State.  The State passes these moneys to the local board of the Firemen’s Relief Fund.  The funds are used to assist fire fighters in various ways.  The City obtains an ongoing financial benefit from the Fund for the on-behalf of payments for salaries and fringe benefits made to members of the City’s fire department by the board of trustees.  During the fiscal year ended June 30, </w:t>
      </w:r>
      <w:r w:rsidR="00A85B23" w:rsidRPr="004B0DA6">
        <w:rPr>
          <w:rFonts w:ascii="Times New Roman" w:hAnsi="Times New Roman" w:cs="Times New Roman"/>
          <w:sz w:val="24"/>
        </w:rPr>
        <w:t>202</w:t>
      </w:r>
      <w:r w:rsidR="00817D0A" w:rsidRPr="004B0DA6">
        <w:rPr>
          <w:rFonts w:ascii="Times New Roman" w:hAnsi="Times New Roman" w:cs="Times New Roman"/>
          <w:sz w:val="24"/>
        </w:rPr>
        <w:t>4</w:t>
      </w:r>
      <w:r w:rsidRPr="004B0DA6">
        <w:rPr>
          <w:rFonts w:ascii="Times New Roman" w:hAnsi="Times New Roman" w:cs="Times New Roman"/>
          <w:sz w:val="24"/>
        </w:rPr>
        <w:t xml:space="preserve">, the City reported revenues and expenditures for the payments of $1,540 made through the Firemen’s Relief Fund.  The participating governments do not have any equity interest in the joint venture, so no equity has been reflected in the financial statements at June 30, </w:t>
      </w:r>
      <w:r w:rsidR="00A85B23" w:rsidRPr="004B0DA6">
        <w:rPr>
          <w:rFonts w:ascii="Times New Roman" w:hAnsi="Times New Roman" w:cs="Times New Roman"/>
          <w:sz w:val="24"/>
        </w:rPr>
        <w:t>202</w:t>
      </w:r>
      <w:r w:rsidR="00817D0A" w:rsidRPr="004B0DA6">
        <w:rPr>
          <w:rFonts w:ascii="Times New Roman" w:hAnsi="Times New Roman" w:cs="Times New Roman"/>
          <w:sz w:val="24"/>
        </w:rPr>
        <w:t>4</w:t>
      </w:r>
      <w:r w:rsidRPr="004B0DA6">
        <w:rPr>
          <w:rFonts w:ascii="Times New Roman" w:hAnsi="Times New Roman" w:cs="Times New Roman"/>
          <w:sz w:val="24"/>
        </w:rPr>
        <w:t xml:space="preserve">.  The Firemen’s Relief Fund does not issue separate audited financial statements.  Instead, the local board of </w:t>
      </w:r>
      <w:r w:rsidR="00BF6A8C" w:rsidRPr="004B0DA6">
        <w:rPr>
          <w:rFonts w:ascii="Times New Roman" w:hAnsi="Times New Roman" w:cs="Times New Roman"/>
          <w:sz w:val="24"/>
        </w:rPr>
        <w:t>trustees’</w:t>
      </w:r>
      <w:r w:rsidRPr="004B0DA6">
        <w:rPr>
          <w:rFonts w:ascii="Times New Roman" w:hAnsi="Times New Roman" w:cs="Times New Roman"/>
          <w:sz w:val="24"/>
        </w:rPr>
        <w:t xml:space="preserve"> files an annual financial report with the State Firemen’s Association.  This report can be obtained from the Association at 323 West Jones Street, Suite 401, Raleigh, North Carolina 27603.</w:t>
      </w:r>
    </w:p>
    <w:p w14:paraId="0F02F097" w14:textId="77777777" w:rsidR="0056179C" w:rsidRPr="004B0DA6" w:rsidRDefault="0056179C" w:rsidP="00203597">
      <w:pPr>
        <w:spacing w:after="0"/>
        <w:rPr>
          <w:rFonts w:ascii="Times New Roman" w:hAnsi="Times New Roman" w:cs="Times New Roman"/>
          <w:sz w:val="24"/>
          <w:szCs w:val="24"/>
        </w:rPr>
      </w:pPr>
    </w:p>
    <w:p w14:paraId="3D2FBCA9" w14:textId="2EB28197" w:rsidR="0056179C" w:rsidRPr="004B0DA6" w:rsidRDefault="0056179C" w:rsidP="00203597">
      <w:pPr>
        <w:keepNext/>
        <w:spacing w:after="0"/>
        <w:rPr>
          <w:rFonts w:ascii="Times New Roman" w:hAnsi="Times New Roman" w:cs="Times New Roman"/>
          <w:b/>
          <w:bCs/>
          <w:sz w:val="24"/>
          <w:szCs w:val="24"/>
          <w:u w:val="single"/>
        </w:rPr>
      </w:pPr>
      <w:r w:rsidRPr="004B0DA6">
        <w:rPr>
          <w:rFonts w:ascii="Times New Roman" w:hAnsi="Times New Roman" w:cs="Times New Roman"/>
          <w:b/>
          <w:bCs/>
          <w:sz w:val="24"/>
          <w:szCs w:val="24"/>
        </w:rPr>
        <w:t xml:space="preserve">VII. </w:t>
      </w:r>
      <w:r w:rsidRPr="004B0DA6">
        <w:rPr>
          <w:rFonts w:ascii="Times New Roman" w:hAnsi="Times New Roman" w:cs="Times New Roman"/>
          <w:b/>
          <w:bCs/>
          <w:sz w:val="24"/>
          <w:szCs w:val="24"/>
          <w:u w:val="single"/>
        </w:rPr>
        <w:t>Related Organization</w:t>
      </w:r>
    </w:p>
    <w:p w14:paraId="1122450A" w14:textId="77777777" w:rsidR="00E840AC" w:rsidRPr="004B0DA6" w:rsidRDefault="00E840AC" w:rsidP="00203597">
      <w:pPr>
        <w:keepNext/>
        <w:spacing w:after="0"/>
        <w:rPr>
          <w:rFonts w:ascii="Times New Roman" w:hAnsi="Times New Roman" w:cs="Times New Roman"/>
          <w:b/>
          <w:bCs/>
          <w:sz w:val="24"/>
          <w:szCs w:val="24"/>
        </w:rPr>
      </w:pPr>
    </w:p>
    <w:p w14:paraId="2C1FE48B" w14:textId="38953263" w:rsidR="0056179C" w:rsidRPr="004B0DA6" w:rsidRDefault="0056179C" w:rsidP="00203597">
      <w:pPr>
        <w:keepNext/>
        <w:spacing w:after="0"/>
        <w:jc w:val="both"/>
        <w:rPr>
          <w:rFonts w:ascii="Times New Roman" w:hAnsi="Times New Roman" w:cs="Times New Roman"/>
          <w:sz w:val="24"/>
          <w:szCs w:val="24"/>
        </w:rPr>
      </w:pPr>
      <w:r w:rsidRPr="004B0DA6">
        <w:rPr>
          <w:rFonts w:ascii="Times New Roman" w:hAnsi="Times New Roman" w:cs="Times New Roman"/>
          <w:sz w:val="24"/>
          <w:szCs w:val="24"/>
        </w:rPr>
        <w:t>The five-member board of the City of Dogwood Housing Authority is appointed by the mayor of the City of Dogwood.  The City is accountable for the Housing Authority because it appoints the governing board; however, the City is not financially accountable for the Housing Authority.  The City of Dogwood is also disclosed as a related organization in the notes to the financial statements for the City of Dogwood Housing Authority.  Complete financial statements for the Housing Authority can be obtained from the Authority’s offices at 789 Shelter Way, Dogwood, North Carolina 00000.</w:t>
      </w:r>
    </w:p>
    <w:p w14:paraId="4EBAD455" w14:textId="77777777" w:rsidR="000954D4" w:rsidRPr="004B0DA6" w:rsidRDefault="000954D4" w:rsidP="00203597">
      <w:pPr>
        <w:keepNext/>
        <w:spacing w:after="0"/>
        <w:jc w:val="both"/>
        <w:rPr>
          <w:rFonts w:ascii="Times New Roman" w:hAnsi="Times New Roman" w:cs="Times New Roman"/>
          <w:sz w:val="24"/>
          <w:szCs w:val="24"/>
        </w:rPr>
      </w:pPr>
    </w:p>
    <w:p w14:paraId="7B750A23" w14:textId="77777777" w:rsidR="00E840AC" w:rsidRPr="004B0DA6" w:rsidRDefault="00E840AC" w:rsidP="00203597">
      <w:pPr>
        <w:spacing w:after="0"/>
        <w:rPr>
          <w:rFonts w:ascii="Times New Roman" w:hAnsi="Times New Roman" w:cs="Times New Roman"/>
          <w:b/>
          <w:bCs/>
          <w:sz w:val="24"/>
          <w:szCs w:val="24"/>
        </w:rPr>
      </w:pPr>
    </w:p>
    <w:p w14:paraId="6FBF11FB" w14:textId="77777777" w:rsidR="00E840AC" w:rsidRPr="004B0DA6" w:rsidRDefault="00E840AC" w:rsidP="00203597">
      <w:pPr>
        <w:spacing w:after="0"/>
        <w:rPr>
          <w:rFonts w:ascii="Times New Roman" w:hAnsi="Times New Roman" w:cs="Times New Roman"/>
          <w:b/>
          <w:bCs/>
          <w:sz w:val="24"/>
          <w:szCs w:val="24"/>
        </w:rPr>
      </w:pPr>
    </w:p>
    <w:p w14:paraId="7C07A227" w14:textId="77777777" w:rsidR="00E840AC" w:rsidRPr="004B0DA6" w:rsidRDefault="00E840AC" w:rsidP="00203597">
      <w:pPr>
        <w:spacing w:after="0"/>
        <w:rPr>
          <w:rFonts w:ascii="Times New Roman" w:hAnsi="Times New Roman" w:cs="Times New Roman"/>
          <w:b/>
          <w:bCs/>
          <w:sz w:val="24"/>
          <w:szCs w:val="24"/>
        </w:rPr>
      </w:pPr>
    </w:p>
    <w:p w14:paraId="5E8F743F" w14:textId="1021CECF" w:rsidR="0056179C" w:rsidRPr="004B0DA6" w:rsidRDefault="0056179C" w:rsidP="00203597">
      <w:pPr>
        <w:spacing w:after="0"/>
        <w:rPr>
          <w:rFonts w:ascii="Times New Roman" w:hAnsi="Times New Roman" w:cs="Times New Roman"/>
          <w:b/>
          <w:bCs/>
          <w:sz w:val="24"/>
          <w:szCs w:val="24"/>
          <w:u w:val="single"/>
        </w:rPr>
      </w:pPr>
      <w:r w:rsidRPr="004B0DA6">
        <w:rPr>
          <w:rFonts w:ascii="Times New Roman" w:hAnsi="Times New Roman" w:cs="Times New Roman"/>
          <w:b/>
          <w:bCs/>
          <w:sz w:val="24"/>
          <w:szCs w:val="24"/>
        </w:rPr>
        <w:t xml:space="preserve">VIII. </w:t>
      </w:r>
      <w:r w:rsidRPr="004B0DA6">
        <w:rPr>
          <w:rFonts w:ascii="Times New Roman" w:hAnsi="Times New Roman" w:cs="Times New Roman"/>
          <w:b/>
          <w:bCs/>
          <w:sz w:val="24"/>
          <w:szCs w:val="24"/>
          <w:u w:val="single"/>
        </w:rPr>
        <w:t>Related Party Transactions</w:t>
      </w:r>
    </w:p>
    <w:p w14:paraId="49DAD2DB" w14:textId="77777777" w:rsidR="00E840AC" w:rsidRPr="004B0DA6" w:rsidRDefault="00E840AC" w:rsidP="00203597">
      <w:pPr>
        <w:spacing w:after="0"/>
        <w:rPr>
          <w:rFonts w:ascii="Times New Roman" w:hAnsi="Times New Roman" w:cs="Times New Roman"/>
          <w:b/>
          <w:bCs/>
          <w:sz w:val="24"/>
          <w:szCs w:val="24"/>
        </w:rPr>
      </w:pPr>
    </w:p>
    <w:tbl>
      <w:tblPr>
        <w:tblW w:w="0" w:type="auto"/>
        <w:tblInd w:w="108" w:type="dxa"/>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8921"/>
      </w:tblGrid>
      <w:tr w:rsidR="0056179C" w:rsidRPr="004B0DA6" w14:paraId="782F9CF3" w14:textId="77777777" w:rsidTr="00F9386B">
        <w:tc>
          <w:tcPr>
            <w:tcW w:w="8921" w:type="dxa"/>
          </w:tcPr>
          <w:p w14:paraId="406B873A" w14:textId="77777777" w:rsidR="0056179C" w:rsidRPr="004B0DA6" w:rsidRDefault="0056179C" w:rsidP="00203597">
            <w:pPr>
              <w:keepLines/>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Disclose significant transactions with elected officials, employees, discretely presented component units, and related organizations. Disclosures should include the nature of the relationship, a description and the dollar amount of any transaction, the amount(s) due to or from the related parties, and any other significant details.</w:t>
            </w:r>
          </w:p>
        </w:tc>
      </w:tr>
    </w:tbl>
    <w:p w14:paraId="3890278A" w14:textId="77777777" w:rsidR="0056179C" w:rsidRPr="004B0DA6" w:rsidRDefault="0056179C" w:rsidP="00203597">
      <w:pPr>
        <w:spacing w:after="0"/>
        <w:rPr>
          <w:rFonts w:ascii="Times New Roman" w:hAnsi="Times New Roman" w:cs="Times New Roman"/>
          <w:b/>
          <w:bCs/>
          <w:sz w:val="24"/>
          <w:szCs w:val="24"/>
        </w:rPr>
      </w:pPr>
    </w:p>
    <w:p w14:paraId="5D2D859B" w14:textId="5FB3FF12" w:rsidR="0056179C" w:rsidRPr="004B0DA6" w:rsidRDefault="0056179C" w:rsidP="00203597">
      <w:pPr>
        <w:spacing w:after="0"/>
        <w:rPr>
          <w:rFonts w:ascii="Times New Roman" w:hAnsi="Times New Roman" w:cs="Times New Roman"/>
          <w:sz w:val="24"/>
          <w:szCs w:val="24"/>
        </w:rPr>
      </w:pPr>
      <w:r w:rsidRPr="004B0DA6">
        <w:rPr>
          <w:rFonts w:ascii="Times New Roman" w:hAnsi="Times New Roman" w:cs="Times New Roman"/>
          <w:b/>
          <w:bCs/>
          <w:sz w:val="24"/>
          <w:szCs w:val="24"/>
        </w:rPr>
        <w:t xml:space="preserve">IX. </w:t>
      </w:r>
      <w:r w:rsidRPr="004B0DA6">
        <w:rPr>
          <w:rFonts w:ascii="Times New Roman" w:hAnsi="Times New Roman" w:cs="Times New Roman"/>
          <w:b/>
          <w:bCs/>
          <w:sz w:val="24"/>
          <w:szCs w:val="24"/>
          <w:u w:val="single"/>
        </w:rPr>
        <w:t>Summary Disclosure of Significant Contingencies</w:t>
      </w:r>
    </w:p>
    <w:p w14:paraId="38D65509" w14:textId="77777777" w:rsidR="00011994" w:rsidRPr="004B0DA6" w:rsidRDefault="00011994" w:rsidP="00203597">
      <w:pPr>
        <w:spacing w:after="0"/>
        <w:rPr>
          <w:rFonts w:ascii="Times New Roman" w:hAnsi="Times New Roman" w:cs="Times New Roman"/>
          <w:sz w:val="24"/>
          <w:szCs w:val="24"/>
          <w:u w:val="single"/>
        </w:rPr>
      </w:pPr>
    </w:p>
    <w:p w14:paraId="51F18A85" w14:textId="7BF31E17" w:rsidR="0056179C" w:rsidRPr="004B0DA6" w:rsidRDefault="0056179C" w:rsidP="00203597">
      <w:pPr>
        <w:spacing w:after="0"/>
        <w:rPr>
          <w:rFonts w:ascii="Times New Roman" w:hAnsi="Times New Roman" w:cs="Times New Roman"/>
          <w:sz w:val="24"/>
          <w:szCs w:val="24"/>
        </w:rPr>
      </w:pPr>
      <w:r w:rsidRPr="004B0DA6">
        <w:rPr>
          <w:rFonts w:ascii="Times New Roman" w:hAnsi="Times New Roman" w:cs="Times New Roman"/>
          <w:sz w:val="24"/>
          <w:szCs w:val="24"/>
          <w:u w:val="single"/>
        </w:rPr>
        <w:t>Federal and State Assisted Programs</w:t>
      </w:r>
    </w:p>
    <w:p w14:paraId="68EEF4A7" w14:textId="77777777" w:rsidR="00E840AC" w:rsidRPr="004B0DA6" w:rsidRDefault="00E840AC" w:rsidP="00203597">
      <w:pPr>
        <w:pStyle w:val="BodyText2"/>
        <w:rPr>
          <w:rFonts w:ascii="Times New Roman" w:hAnsi="Times New Roman" w:cs="Times New Roman"/>
          <w:sz w:val="24"/>
        </w:rPr>
      </w:pPr>
    </w:p>
    <w:p w14:paraId="3A5BDF4B" w14:textId="37E86171" w:rsidR="0056179C" w:rsidRPr="004B0DA6" w:rsidRDefault="0056179C" w:rsidP="007A4AD5">
      <w:pPr>
        <w:pStyle w:val="BodyText2"/>
        <w:jc w:val="both"/>
        <w:rPr>
          <w:rFonts w:ascii="Times New Roman" w:hAnsi="Times New Roman" w:cs="Times New Roman"/>
          <w:sz w:val="24"/>
        </w:rPr>
      </w:pPr>
      <w:r w:rsidRPr="004B0DA6">
        <w:rPr>
          <w:rFonts w:ascii="Times New Roman" w:hAnsi="Times New Roman" w:cs="Times New Roman"/>
          <w:sz w:val="24"/>
        </w:rPr>
        <w:t>The City has received proceeds from several federal and State grants.  Periodic audits of these grants are required, and certain costs may be questioned as not being appropriate expenditures under the grant agreements.  Such audits could result in the refund of grant moneys to the grantor agencies.  Management believes that any required refunds will be immaterial.  No provision has been made in the accompanying financial statements for the refund of grant moneys.</w:t>
      </w:r>
    </w:p>
    <w:p w14:paraId="719204F4" w14:textId="77777777" w:rsidR="0056179C" w:rsidRPr="004B0DA6" w:rsidRDefault="0056179C" w:rsidP="00203597">
      <w:pPr>
        <w:spacing w:after="0"/>
        <w:rPr>
          <w:rFonts w:ascii="Times New Roman" w:hAnsi="Times New Roman" w:cs="Times New Roman"/>
          <w:b/>
          <w:bCs/>
          <w:sz w:val="24"/>
          <w:szCs w:val="24"/>
        </w:rPr>
      </w:pPr>
    </w:p>
    <w:p w14:paraId="49A6A0FB" w14:textId="11891DB4" w:rsidR="0056179C" w:rsidRPr="004B0DA6" w:rsidRDefault="0056179C" w:rsidP="00203597">
      <w:pPr>
        <w:keepNext/>
        <w:spacing w:after="0"/>
        <w:rPr>
          <w:rFonts w:ascii="Times New Roman" w:hAnsi="Times New Roman" w:cs="Times New Roman"/>
          <w:b/>
          <w:bCs/>
          <w:sz w:val="24"/>
          <w:szCs w:val="24"/>
          <w:u w:val="single"/>
        </w:rPr>
      </w:pPr>
      <w:r w:rsidRPr="004B0DA6">
        <w:rPr>
          <w:rFonts w:ascii="Times New Roman" w:hAnsi="Times New Roman" w:cs="Times New Roman"/>
          <w:b/>
          <w:bCs/>
          <w:sz w:val="24"/>
          <w:szCs w:val="24"/>
        </w:rPr>
        <w:t xml:space="preserve">X. </w:t>
      </w:r>
      <w:r w:rsidRPr="004B0DA6">
        <w:rPr>
          <w:rFonts w:ascii="Times New Roman" w:hAnsi="Times New Roman" w:cs="Times New Roman"/>
          <w:b/>
          <w:bCs/>
          <w:sz w:val="24"/>
          <w:szCs w:val="24"/>
          <w:u w:val="single"/>
        </w:rPr>
        <w:t>Significant Effects of Subsequent Events</w:t>
      </w:r>
    </w:p>
    <w:p w14:paraId="5445374A" w14:textId="77777777" w:rsidR="00011994" w:rsidRPr="004B0DA6" w:rsidRDefault="00011994" w:rsidP="00203597">
      <w:pPr>
        <w:keepNext/>
        <w:spacing w:after="0"/>
        <w:rPr>
          <w:rFonts w:ascii="Times New Roman" w:hAnsi="Times New Roman" w:cs="Times New Roman"/>
          <w:b/>
          <w:bCs/>
          <w:sz w:val="24"/>
          <w:szCs w:val="24"/>
        </w:rPr>
      </w:pPr>
    </w:p>
    <w:tbl>
      <w:tblPr>
        <w:tblpPr w:leftFromText="180" w:rightFromText="180" w:vertAnchor="text" w:horzAnchor="margin" w:tblpY="75"/>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8779"/>
      </w:tblGrid>
      <w:tr w:rsidR="0056179C" w:rsidRPr="004B0DA6" w14:paraId="31AD369A" w14:textId="77777777" w:rsidTr="00F9386B">
        <w:trPr>
          <w:trHeight w:val="1320"/>
        </w:trPr>
        <w:tc>
          <w:tcPr>
            <w:tcW w:w="8779" w:type="dxa"/>
          </w:tcPr>
          <w:p w14:paraId="187A94DA" w14:textId="443D3488" w:rsidR="0056179C" w:rsidRPr="004B0DA6" w:rsidRDefault="0056179C" w:rsidP="00203597">
            <w:pPr>
              <w:keepNext/>
              <w:keepLines/>
              <w:spacing w:after="0"/>
              <w:jc w:val="both"/>
              <w:rPr>
                <w:rFonts w:ascii="Times New Roman" w:hAnsi="Times New Roman" w:cs="Times New Roman"/>
                <w:sz w:val="24"/>
                <w:szCs w:val="24"/>
              </w:rPr>
            </w:pPr>
            <w:bookmarkStart w:id="60" w:name="_Hlk141224771"/>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Events that occur between the end of the period covered by the financial statements and the statement issuance date that had a significant effect on the unit should be disclosed.  For a significant component unit with a different fiscal year</w:t>
            </w:r>
            <w:r w:rsidRPr="004B0DA6">
              <w:rPr>
                <w:rFonts w:ascii="Times New Roman" w:hAnsi="Times New Roman" w:cs="Times New Roman"/>
                <w:sz w:val="24"/>
                <w:szCs w:val="24"/>
              </w:rPr>
              <w:noBreakHyphen/>
              <w:t xml:space="preserve">end, the auditor should disclose significant subsequent events between the component unit's fiscal year-end and the issuance date of the reporting entity's financial statements.  </w:t>
            </w:r>
            <w:r w:rsidR="00AF373B" w:rsidRPr="004B0DA6">
              <w:rPr>
                <w:rFonts w:ascii="Times New Roman" w:hAnsi="Times New Roman" w:cs="Times New Roman"/>
              </w:rPr>
              <w:t xml:space="preserve"> </w:t>
            </w:r>
            <w:r w:rsidR="00AF373B" w:rsidRPr="004B0DA6">
              <w:rPr>
                <w:rFonts w:ascii="Times New Roman" w:hAnsi="Times New Roman" w:cs="Times New Roman"/>
                <w:sz w:val="24"/>
                <w:szCs w:val="24"/>
                <w:highlight w:val="yellow"/>
              </w:rPr>
              <w:t>Example: September 26, 2024, Hurricane Helene devastated much of the Western part of North Carolina.  The effects of that on the City of Dogwood were</w:t>
            </w:r>
            <w:r w:rsidR="00EA09E6" w:rsidRPr="004B0DA6">
              <w:rPr>
                <w:rFonts w:ascii="Times New Roman" w:hAnsi="Times New Roman" w:cs="Times New Roman"/>
                <w:sz w:val="24"/>
                <w:szCs w:val="24"/>
                <w:highlight w:val="yellow"/>
              </w:rPr>
              <w:t>….</w:t>
            </w:r>
          </w:p>
        </w:tc>
      </w:tr>
      <w:bookmarkEnd w:id="60"/>
    </w:tbl>
    <w:p w14:paraId="1F72657A" w14:textId="77777777" w:rsidR="00E840AC" w:rsidRPr="004B0DA6" w:rsidRDefault="00E840AC" w:rsidP="00203597">
      <w:pPr>
        <w:spacing w:after="0"/>
        <w:rPr>
          <w:rFonts w:ascii="Times New Roman" w:hAnsi="Times New Roman" w:cs="Times New Roman"/>
          <w:b/>
          <w:bCs/>
          <w:szCs w:val="24"/>
        </w:rPr>
      </w:pPr>
    </w:p>
    <w:p w14:paraId="78DBC8D5" w14:textId="7E66F4DC" w:rsidR="0056179C" w:rsidRPr="004B0DA6" w:rsidRDefault="0056179C" w:rsidP="00203597">
      <w:pPr>
        <w:spacing w:after="0"/>
        <w:rPr>
          <w:rFonts w:ascii="Times New Roman" w:hAnsi="Times New Roman" w:cs="Times New Roman"/>
          <w:b/>
          <w:bCs/>
          <w:szCs w:val="24"/>
          <w:u w:val="single"/>
        </w:rPr>
      </w:pPr>
      <w:r w:rsidRPr="004B0DA6">
        <w:rPr>
          <w:rFonts w:ascii="Times New Roman" w:hAnsi="Times New Roman" w:cs="Times New Roman"/>
          <w:b/>
          <w:bCs/>
          <w:szCs w:val="24"/>
        </w:rPr>
        <w:t>XI</w:t>
      </w:r>
      <w:r w:rsidRPr="004B0DA6">
        <w:rPr>
          <w:rFonts w:ascii="Times New Roman" w:hAnsi="Times New Roman" w:cs="Times New Roman"/>
          <w:szCs w:val="24"/>
        </w:rPr>
        <w:t xml:space="preserve">. </w:t>
      </w:r>
      <w:r w:rsidRPr="004B0DA6">
        <w:rPr>
          <w:rFonts w:ascii="Times New Roman" w:hAnsi="Times New Roman" w:cs="Times New Roman"/>
          <w:b/>
          <w:bCs/>
          <w:szCs w:val="24"/>
          <w:u w:val="single"/>
        </w:rPr>
        <w:t>Restatements</w:t>
      </w:r>
    </w:p>
    <w:p w14:paraId="4ECC9A1A" w14:textId="77777777" w:rsidR="00011994" w:rsidRPr="004B0DA6" w:rsidRDefault="00011994" w:rsidP="00203597">
      <w:pPr>
        <w:spacing w:after="0"/>
        <w:rPr>
          <w:rFonts w:ascii="Times New Roman" w:eastAsia="Times New Roman" w:hAnsi="Times New Roman" w:cs="Times New Roman"/>
          <w:b/>
          <w:bCs/>
          <w:sz w:val="24"/>
          <w:szCs w:val="24"/>
        </w:rPr>
      </w:pPr>
    </w:p>
    <w:p w14:paraId="52093224" w14:textId="0F78D2C1" w:rsidR="00E840AC" w:rsidRPr="004B0DA6" w:rsidRDefault="0056179C" w:rsidP="00203597">
      <w:pPr>
        <w:spacing w:after="0"/>
        <w:jc w:val="both"/>
        <w:rPr>
          <w:rFonts w:ascii="Times New Roman" w:hAnsi="Times New Roman" w:cs="Times New Roman"/>
          <w:sz w:val="24"/>
          <w:szCs w:val="24"/>
          <w:u w:val="single"/>
        </w:rPr>
      </w:pPr>
      <w:r w:rsidRPr="004B0DA6">
        <w:rPr>
          <w:rFonts w:ascii="Times New Roman" w:hAnsi="Times New Roman" w:cs="Times New Roman"/>
          <w:sz w:val="24"/>
          <w:szCs w:val="24"/>
          <w:u w:val="single"/>
        </w:rPr>
        <w:t>Prior Period Adjustment</w:t>
      </w:r>
    </w:p>
    <w:p w14:paraId="2939EDDD" w14:textId="77777777" w:rsidR="00011994" w:rsidRPr="004B0DA6" w:rsidRDefault="00011994" w:rsidP="00203597">
      <w:pPr>
        <w:spacing w:after="0"/>
        <w:jc w:val="both"/>
        <w:rPr>
          <w:rFonts w:ascii="Times New Roman" w:hAnsi="Times New Roman" w:cs="Times New Roman"/>
          <w:sz w:val="24"/>
          <w:szCs w:val="24"/>
          <w:u w:val="single"/>
        </w:rPr>
      </w:pPr>
    </w:p>
    <w:tbl>
      <w:tblPr>
        <w:tblpPr w:leftFromText="180" w:rightFromText="180" w:vertAnchor="text" w:horzAnchor="margin" w:tblpY="75"/>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8779"/>
      </w:tblGrid>
      <w:tr w:rsidR="003650E5" w:rsidRPr="004B0DA6" w14:paraId="428AB13F" w14:textId="77777777" w:rsidTr="008973F3">
        <w:trPr>
          <w:trHeight w:val="1320"/>
        </w:trPr>
        <w:tc>
          <w:tcPr>
            <w:tcW w:w="8779" w:type="dxa"/>
          </w:tcPr>
          <w:p w14:paraId="32780CAA" w14:textId="36C1DD64" w:rsidR="003650E5" w:rsidRPr="004B0DA6" w:rsidRDefault="003650E5" w:rsidP="00E840AC">
            <w:pPr>
              <w:spacing w:after="0"/>
              <w:jc w:val="both"/>
              <w:rPr>
                <w:rFonts w:ascii="Times New Roman" w:hAnsi="Times New Roman" w:cs="Times New Roman"/>
                <w:sz w:val="24"/>
                <w:szCs w:val="24"/>
              </w:rPr>
            </w:pPr>
            <w:r w:rsidRPr="004B0DA6">
              <w:rPr>
                <w:rFonts w:ascii="Times New Roman" w:hAnsi="Times New Roman" w:cs="Times New Roman"/>
                <w:b/>
                <w:bCs/>
                <w:sz w:val="24"/>
                <w:szCs w:val="24"/>
              </w:rPr>
              <w:t xml:space="preserve">Note to preparer: </w:t>
            </w:r>
            <w:r w:rsidRPr="004B0DA6">
              <w:rPr>
                <w:rFonts w:ascii="Times New Roman" w:hAnsi="Times New Roman" w:cs="Times New Roman"/>
                <w:sz w:val="24"/>
                <w:szCs w:val="24"/>
              </w:rPr>
              <w:t>There were no prior period adjustment this year. An example would be: During the fiscal year ended June 30, 202</w:t>
            </w:r>
            <w:r w:rsidR="00817D0A" w:rsidRPr="004B0DA6">
              <w:rPr>
                <w:rFonts w:ascii="Times New Roman" w:hAnsi="Times New Roman" w:cs="Times New Roman"/>
                <w:sz w:val="24"/>
                <w:szCs w:val="24"/>
              </w:rPr>
              <w:t>4</w:t>
            </w:r>
            <w:r w:rsidRPr="004B0DA6">
              <w:rPr>
                <w:rFonts w:ascii="Times New Roman" w:hAnsi="Times New Roman" w:cs="Times New Roman"/>
                <w:sz w:val="24"/>
                <w:szCs w:val="24"/>
              </w:rPr>
              <w:t>, the City determined that certain unrestricted intergovernmental revenues that were subject to accrual in the General Fund as of June 30, 2021, on a modified accrual basis of accounting, had been omitted.  Therefore, an adjustment to beginning fund balance has been recorded to account for those accruals, the net effect of which increased beginning fund balance by $67,367.  These revenues were properly accrued in the government-wide statements; therefore, beginning net position was not affected.</w:t>
            </w:r>
          </w:p>
        </w:tc>
      </w:tr>
    </w:tbl>
    <w:p w14:paraId="5DBE8F68" w14:textId="77777777" w:rsidR="003650E5" w:rsidRPr="004B0DA6" w:rsidRDefault="003650E5" w:rsidP="00203597">
      <w:pPr>
        <w:pStyle w:val="BodyTextIndent3"/>
        <w:ind w:left="0"/>
        <w:rPr>
          <w:rFonts w:ascii="Times New Roman" w:hAnsi="Times New Roman"/>
          <w:szCs w:val="24"/>
        </w:rPr>
      </w:pPr>
    </w:p>
    <w:p w14:paraId="280CD516" w14:textId="3A3F9F1C" w:rsidR="00E840AC" w:rsidRPr="004B0DA6" w:rsidRDefault="0056179C" w:rsidP="00203597">
      <w:pPr>
        <w:spacing w:after="0"/>
        <w:jc w:val="both"/>
        <w:rPr>
          <w:rFonts w:ascii="Times New Roman" w:hAnsi="Times New Roman" w:cs="Times New Roman"/>
          <w:sz w:val="24"/>
          <w:szCs w:val="24"/>
          <w:u w:val="single"/>
        </w:rPr>
      </w:pPr>
      <w:r w:rsidRPr="004B0DA6">
        <w:rPr>
          <w:rFonts w:ascii="Times New Roman" w:hAnsi="Times New Roman" w:cs="Times New Roman"/>
          <w:sz w:val="24"/>
          <w:szCs w:val="24"/>
          <w:u w:val="single"/>
        </w:rPr>
        <w:lastRenderedPageBreak/>
        <w:t>Change in Accounting Principl</w:t>
      </w:r>
      <w:r w:rsidR="00E840AC" w:rsidRPr="004B0DA6">
        <w:rPr>
          <w:rFonts w:ascii="Times New Roman" w:hAnsi="Times New Roman" w:cs="Times New Roman"/>
          <w:sz w:val="24"/>
          <w:szCs w:val="24"/>
          <w:u w:val="single"/>
        </w:rPr>
        <w:t>e</w:t>
      </w:r>
    </w:p>
    <w:p w14:paraId="35C7B802" w14:textId="77777777" w:rsidR="00011994" w:rsidRPr="004B0DA6" w:rsidRDefault="00011994" w:rsidP="00203597">
      <w:pPr>
        <w:spacing w:after="0"/>
        <w:jc w:val="both"/>
        <w:rPr>
          <w:rFonts w:ascii="Times New Roman" w:hAnsi="Times New Roman" w:cs="Times New Roman"/>
          <w:sz w:val="24"/>
          <w:szCs w:val="24"/>
          <w:u w:val="single"/>
        </w:rPr>
      </w:pPr>
    </w:p>
    <w:tbl>
      <w:tblPr>
        <w:tblpPr w:leftFromText="180" w:rightFromText="180" w:vertAnchor="text" w:horzAnchor="margin" w:tblpY="75"/>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8779"/>
      </w:tblGrid>
      <w:tr w:rsidR="006063DE" w:rsidRPr="004B0DA6" w14:paraId="727DAB1D" w14:textId="77777777" w:rsidTr="008973F3">
        <w:trPr>
          <w:trHeight w:val="1320"/>
        </w:trPr>
        <w:tc>
          <w:tcPr>
            <w:tcW w:w="8779" w:type="dxa"/>
          </w:tcPr>
          <w:p w14:paraId="3DBC0E4E" w14:textId="778A57E6" w:rsidR="006063DE" w:rsidRPr="004B0DA6" w:rsidRDefault="006063DE" w:rsidP="00203597">
            <w:pPr>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xml:space="preserve">: GASB Statement No. 96, Subscription-Based Information Technology Arrangements, was implemented for the current year. However, the implementation did not </w:t>
            </w:r>
            <w:proofErr w:type="gramStart"/>
            <w:r w:rsidRPr="004B0DA6">
              <w:rPr>
                <w:rFonts w:ascii="Times New Roman" w:hAnsi="Times New Roman" w:cs="Times New Roman"/>
                <w:sz w:val="24"/>
                <w:szCs w:val="24"/>
              </w:rPr>
              <w:t xml:space="preserve">have an </w:t>
            </w:r>
            <w:r w:rsidR="00BF6A8C" w:rsidRPr="004B0DA6">
              <w:rPr>
                <w:rFonts w:ascii="Times New Roman" w:hAnsi="Times New Roman" w:cs="Times New Roman"/>
                <w:sz w:val="24"/>
                <w:szCs w:val="24"/>
              </w:rPr>
              <w:t>effect</w:t>
            </w:r>
            <w:r w:rsidRPr="004B0DA6">
              <w:rPr>
                <w:rFonts w:ascii="Times New Roman" w:hAnsi="Times New Roman" w:cs="Times New Roman"/>
                <w:sz w:val="24"/>
                <w:szCs w:val="24"/>
              </w:rPr>
              <w:t xml:space="preserve"> on</w:t>
            </w:r>
            <w:proofErr w:type="gramEnd"/>
            <w:r w:rsidRPr="004B0DA6">
              <w:rPr>
                <w:rFonts w:ascii="Times New Roman" w:hAnsi="Times New Roman" w:cs="Times New Roman"/>
                <w:sz w:val="24"/>
                <w:szCs w:val="24"/>
              </w:rPr>
              <w:t xml:space="preserve"> equity. Accordingly, there is no restatement to report. See</w:t>
            </w:r>
            <w:r w:rsidR="00732DFB" w:rsidRPr="004B0DA6">
              <w:rPr>
                <w:rFonts w:ascii="Times New Roman" w:hAnsi="Times New Roman" w:cs="Times New Roman"/>
                <w:sz w:val="24"/>
                <w:szCs w:val="24"/>
              </w:rPr>
              <w:t xml:space="preserve"> </w:t>
            </w:r>
            <w:r w:rsidRPr="004B0DA6">
              <w:rPr>
                <w:rFonts w:ascii="Times New Roman" w:hAnsi="Times New Roman" w:cs="Times New Roman"/>
                <w:sz w:val="24"/>
                <w:szCs w:val="24"/>
              </w:rPr>
              <w:t xml:space="preserve">Note III Detail Notes on All Funds; B. Liabilities; </w:t>
            </w:r>
            <w:r w:rsidR="00732DFB" w:rsidRPr="004B0DA6">
              <w:rPr>
                <w:rFonts w:ascii="Times New Roman" w:hAnsi="Times New Roman" w:cs="Times New Roman"/>
                <w:sz w:val="24"/>
                <w:szCs w:val="24"/>
              </w:rPr>
              <w:t>6. Long-</w:t>
            </w:r>
            <w:r w:rsidR="0078372D" w:rsidRPr="004B0DA6">
              <w:rPr>
                <w:rFonts w:ascii="Times New Roman" w:hAnsi="Times New Roman" w:cs="Times New Roman"/>
                <w:sz w:val="24"/>
                <w:szCs w:val="24"/>
              </w:rPr>
              <w:t>Term Obligations</w:t>
            </w:r>
            <w:r w:rsidR="00732DFB" w:rsidRPr="004B0DA6">
              <w:rPr>
                <w:rFonts w:ascii="Times New Roman" w:hAnsi="Times New Roman" w:cs="Times New Roman"/>
                <w:sz w:val="24"/>
                <w:szCs w:val="24"/>
              </w:rPr>
              <w:t>; e. Subscriptions for further discussion.</w:t>
            </w:r>
          </w:p>
        </w:tc>
      </w:tr>
    </w:tbl>
    <w:p w14:paraId="6F867F85" w14:textId="77777777" w:rsidR="00103579" w:rsidRPr="004B0DA6" w:rsidRDefault="00103579" w:rsidP="00103579">
      <w:pPr>
        <w:spacing w:before="88"/>
        <w:ind w:left="773" w:right="890"/>
        <w:jc w:val="center"/>
        <w:rPr>
          <w:rFonts w:ascii="Times New Roman" w:hAnsi="Times New Roman" w:cs="Times New Roman"/>
          <w:b/>
          <w:sz w:val="24"/>
        </w:rPr>
      </w:pPr>
    </w:p>
    <w:p w14:paraId="2CE17F51" w14:textId="77777777" w:rsidR="00837F79" w:rsidRPr="004B0DA6" w:rsidRDefault="00837F79" w:rsidP="00837F79">
      <w:pPr>
        <w:spacing w:before="88"/>
        <w:ind w:right="890"/>
        <w:rPr>
          <w:rFonts w:ascii="Times New Roman" w:hAnsi="Times New Roman" w:cs="Times New Roman"/>
          <w:b/>
          <w:sz w:val="28"/>
          <w:szCs w:val="28"/>
        </w:rPr>
      </w:pPr>
    </w:p>
    <w:p w14:paraId="66922CD1" w14:textId="77777777" w:rsidR="00837F79" w:rsidRPr="004B0DA6" w:rsidRDefault="00837F79" w:rsidP="00837F79">
      <w:pPr>
        <w:spacing w:before="88"/>
        <w:ind w:right="890"/>
        <w:rPr>
          <w:rFonts w:ascii="Times New Roman" w:hAnsi="Times New Roman" w:cs="Times New Roman"/>
          <w:b/>
          <w:sz w:val="28"/>
          <w:szCs w:val="28"/>
        </w:rPr>
      </w:pPr>
    </w:p>
    <w:p w14:paraId="0EB5CE9E" w14:textId="77777777" w:rsidR="00837F79" w:rsidRPr="004B0DA6" w:rsidRDefault="00837F79" w:rsidP="00837F79">
      <w:pPr>
        <w:spacing w:before="88"/>
        <w:ind w:right="890"/>
        <w:rPr>
          <w:rFonts w:ascii="Times New Roman" w:hAnsi="Times New Roman" w:cs="Times New Roman"/>
          <w:b/>
          <w:sz w:val="28"/>
          <w:szCs w:val="28"/>
        </w:rPr>
      </w:pPr>
    </w:p>
    <w:p w14:paraId="23B248C6" w14:textId="77777777" w:rsidR="00837F79" w:rsidRPr="004B0DA6" w:rsidRDefault="00837F79" w:rsidP="00837F79">
      <w:pPr>
        <w:spacing w:before="88"/>
        <w:ind w:right="890"/>
        <w:rPr>
          <w:rFonts w:ascii="Times New Roman" w:hAnsi="Times New Roman" w:cs="Times New Roman"/>
          <w:b/>
          <w:sz w:val="28"/>
          <w:szCs w:val="28"/>
        </w:rPr>
      </w:pPr>
    </w:p>
    <w:p w14:paraId="069536D0" w14:textId="77777777" w:rsidR="00837F79" w:rsidRPr="004B0DA6" w:rsidRDefault="00837F79" w:rsidP="00837F79">
      <w:pPr>
        <w:spacing w:before="88"/>
        <w:ind w:right="890"/>
        <w:rPr>
          <w:rFonts w:ascii="Times New Roman" w:hAnsi="Times New Roman" w:cs="Times New Roman"/>
          <w:b/>
          <w:sz w:val="28"/>
          <w:szCs w:val="28"/>
        </w:rPr>
      </w:pPr>
    </w:p>
    <w:p w14:paraId="6F40A305" w14:textId="77777777" w:rsidR="00837F79" w:rsidRPr="004B0DA6" w:rsidRDefault="00837F79" w:rsidP="00837F79">
      <w:pPr>
        <w:spacing w:before="88"/>
        <w:ind w:right="890"/>
        <w:rPr>
          <w:rFonts w:ascii="Times New Roman" w:hAnsi="Times New Roman" w:cs="Times New Roman"/>
          <w:b/>
          <w:sz w:val="28"/>
          <w:szCs w:val="28"/>
        </w:rPr>
      </w:pPr>
    </w:p>
    <w:p w14:paraId="29676D5E" w14:textId="77777777" w:rsidR="00837F79" w:rsidRPr="004B0DA6" w:rsidRDefault="00837F79" w:rsidP="00837F79">
      <w:pPr>
        <w:spacing w:before="88"/>
        <w:ind w:right="890"/>
        <w:rPr>
          <w:rFonts w:ascii="Times New Roman" w:hAnsi="Times New Roman" w:cs="Times New Roman"/>
          <w:b/>
          <w:sz w:val="28"/>
          <w:szCs w:val="28"/>
        </w:rPr>
      </w:pPr>
    </w:p>
    <w:p w14:paraId="5FACD246" w14:textId="77777777" w:rsidR="00837F79" w:rsidRPr="004B0DA6" w:rsidRDefault="00837F79" w:rsidP="00837F79">
      <w:pPr>
        <w:spacing w:before="88"/>
        <w:ind w:right="890"/>
        <w:rPr>
          <w:rFonts w:ascii="Times New Roman" w:hAnsi="Times New Roman" w:cs="Times New Roman"/>
          <w:b/>
          <w:sz w:val="28"/>
          <w:szCs w:val="28"/>
        </w:rPr>
      </w:pPr>
    </w:p>
    <w:p w14:paraId="58B61646" w14:textId="77777777" w:rsidR="00837F79" w:rsidRPr="004B0DA6" w:rsidRDefault="00837F79" w:rsidP="00837F79">
      <w:pPr>
        <w:spacing w:before="88"/>
        <w:ind w:right="890"/>
        <w:rPr>
          <w:rFonts w:ascii="Times New Roman" w:hAnsi="Times New Roman" w:cs="Times New Roman"/>
          <w:b/>
          <w:sz w:val="28"/>
          <w:szCs w:val="28"/>
        </w:rPr>
      </w:pPr>
    </w:p>
    <w:p w14:paraId="7809C88F" w14:textId="77777777" w:rsidR="00837F79" w:rsidRPr="004B0DA6" w:rsidRDefault="00837F79" w:rsidP="00837F79">
      <w:pPr>
        <w:spacing w:before="88"/>
        <w:ind w:right="890"/>
        <w:rPr>
          <w:rFonts w:ascii="Times New Roman" w:hAnsi="Times New Roman" w:cs="Times New Roman"/>
          <w:b/>
          <w:sz w:val="28"/>
          <w:szCs w:val="28"/>
        </w:rPr>
      </w:pPr>
    </w:p>
    <w:p w14:paraId="3F43FCE6" w14:textId="77777777" w:rsidR="00837F79" w:rsidRPr="004B0DA6" w:rsidRDefault="00837F79" w:rsidP="00837F79">
      <w:pPr>
        <w:spacing w:before="88"/>
        <w:ind w:right="890"/>
        <w:rPr>
          <w:rFonts w:ascii="Times New Roman" w:hAnsi="Times New Roman" w:cs="Times New Roman"/>
          <w:b/>
          <w:sz w:val="28"/>
          <w:szCs w:val="28"/>
        </w:rPr>
      </w:pPr>
    </w:p>
    <w:p w14:paraId="3E9DBEBC" w14:textId="77777777" w:rsidR="00837F79" w:rsidRPr="004B0DA6" w:rsidRDefault="00837F79" w:rsidP="00837F79">
      <w:pPr>
        <w:spacing w:before="88"/>
        <w:ind w:right="890"/>
        <w:rPr>
          <w:rFonts w:ascii="Times New Roman" w:hAnsi="Times New Roman" w:cs="Times New Roman"/>
          <w:b/>
          <w:sz w:val="28"/>
          <w:szCs w:val="28"/>
        </w:rPr>
      </w:pPr>
    </w:p>
    <w:p w14:paraId="75BD13AA" w14:textId="77777777" w:rsidR="00837F79" w:rsidRPr="004B0DA6" w:rsidRDefault="00837F79" w:rsidP="00837F79">
      <w:pPr>
        <w:spacing w:before="88"/>
        <w:ind w:right="890"/>
        <w:rPr>
          <w:rFonts w:ascii="Times New Roman" w:hAnsi="Times New Roman" w:cs="Times New Roman"/>
          <w:b/>
          <w:sz w:val="28"/>
          <w:szCs w:val="28"/>
        </w:rPr>
      </w:pPr>
    </w:p>
    <w:p w14:paraId="4A88C786" w14:textId="77777777" w:rsidR="00837F79" w:rsidRPr="004B0DA6" w:rsidRDefault="00837F79" w:rsidP="00837F79">
      <w:pPr>
        <w:spacing w:before="88"/>
        <w:ind w:right="890"/>
        <w:rPr>
          <w:rFonts w:ascii="Times New Roman" w:hAnsi="Times New Roman" w:cs="Times New Roman"/>
          <w:b/>
          <w:sz w:val="28"/>
          <w:szCs w:val="28"/>
        </w:rPr>
      </w:pPr>
    </w:p>
    <w:p w14:paraId="7EA8FDD7" w14:textId="77777777" w:rsidR="00837F79" w:rsidRPr="004B0DA6" w:rsidRDefault="00837F79" w:rsidP="00837F79">
      <w:pPr>
        <w:spacing w:before="88"/>
        <w:ind w:right="890"/>
        <w:rPr>
          <w:rFonts w:ascii="Times New Roman" w:hAnsi="Times New Roman" w:cs="Times New Roman"/>
          <w:b/>
          <w:sz w:val="28"/>
          <w:szCs w:val="28"/>
        </w:rPr>
      </w:pPr>
    </w:p>
    <w:p w14:paraId="4C383A12" w14:textId="77777777" w:rsidR="00837F79" w:rsidRPr="004B0DA6" w:rsidRDefault="00837F79" w:rsidP="00837F79">
      <w:pPr>
        <w:spacing w:before="88"/>
        <w:ind w:right="890"/>
        <w:rPr>
          <w:rFonts w:ascii="Times New Roman" w:hAnsi="Times New Roman" w:cs="Times New Roman"/>
          <w:b/>
          <w:sz w:val="28"/>
          <w:szCs w:val="28"/>
        </w:rPr>
      </w:pPr>
    </w:p>
    <w:p w14:paraId="3BD97279" w14:textId="77777777" w:rsidR="00837F79" w:rsidRPr="004B0DA6" w:rsidRDefault="00837F79" w:rsidP="00837F79">
      <w:pPr>
        <w:spacing w:before="88"/>
        <w:ind w:right="890"/>
        <w:rPr>
          <w:rFonts w:ascii="Times New Roman" w:hAnsi="Times New Roman" w:cs="Times New Roman"/>
          <w:b/>
          <w:sz w:val="28"/>
          <w:szCs w:val="28"/>
        </w:rPr>
      </w:pPr>
    </w:p>
    <w:p w14:paraId="06147D98" w14:textId="77777777" w:rsidR="00837F79" w:rsidRPr="004B0DA6" w:rsidRDefault="00837F79" w:rsidP="00837F79">
      <w:pPr>
        <w:spacing w:before="88"/>
        <w:ind w:right="890"/>
        <w:rPr>
          <w:rFonts w:ascii="Times New Roman" w:hAnsi="Times New Roman" w:cs="Times New Roman"/>
          <w:b/>
          <w:sz w:val="28"/>
          <w:szCs w:val="28"/>
        </w:rPr>
      </w:pPr>
    </w:p>
    <w:p w14:paraId="4A368F6E" w14:textId="77777777" w:rsidR="00837F79" w:rsidRPr="004B0DA6" w:rsidRDefault="00837F79" w:rsidP="00837F79">
      <w:pPr>
        <w:spacing w:before="88"/>
        <w:ind w:right="890"/>
        <w:rPr>
          <w:rFonts w:ascii="Times New Roman" w:hAnsi="Times New Roman" w:cs="Times New Roman"/>
          <w:b/>
          <w:sz w:val="28"/>
          <w:szCs w:val="28"/>
        </w:rPr>
      </w:pPr>
    </w:p>
    <w:p w14:paraId="28EECB29" w14:textId="77777777" w:rsidR="00837F79" w:rsidRPr="004B0DA6" w:rsidRDefault="00837F79" w:rsidP="00837F79">
      <w:pPr>
        <w:spacing w:before="88"/>
        <w:ind w:right="890"/>
        <w:rPr>
          <w:rFonts w:ascii="Times New Roman" w:hAnsi="Times New Roman" w:cs="Times New Roman"/>
          <w:b/>
          <w:sz w:val="28"/>
          <w:szCs w:val="28"/>
        </w:rPr>
      </w:pPr>
    </w:p>
    <w:p w14:paraId="394DA581" w14:textId="1A00DA18" w:rsidR="00103579" w:rsidRPr="004B0DA6" w:rsidRDefault="00103579" w:rsidP="007A4AD5">
      <w:pPr>
        <w:spacing w:before="88"/>
        <w:ind w:right="890"/>
        <w:jc w:val="center"/>
        <w:rPr>
          <w:rFonts w:ascii="Times New Roman" w:hAnsi="Times New Roman" w:cs="Times New Roman"/>
          <w:b/>
          <w:sz w:val="28"/>
          <w:szCs w:val="28"/>
        </w:rPr>
      </w:pPr>
      <w:r w:rsidRPr="004B0DA6">
        <w:rPr>
          <w:rFonts w:ascii="Times New Roman" w:hAnsi="Times New Roman" w:cs="Times New Roman"/>
          <w:b/>
          <w:sz w:val="28"/>
          <w:szCs w:val="28"/>
          <w:highlight w:val="yellow"/>
        </w:rPr>
        <w:lastRenderedPageBreak/>
        <w:t>Required</w:t>
      </w:r>
      <w:r w:rsidRPr="004B0DA6">
        <w:rPr>
          <w:rFonts w:ascii="Times New Roman" w:hAnsi="Times New Roman" w:cs="Times New Roman"/>
          <w:b/>
          <w:spacing w:val="-4"/>
          <w:sz w:val="28"/>
          <w:szCs w:val="28"/>
          <w:highlight w:val="yellow"/>
        </w:rPr>
        <w:t xml:space="preserve"> </w:t>
      </w:r>
      <w:r w:rsidRPr="004B0DA6">
        <w:rPr>
          <w:rFonts w:ascii="Times New Roman" w:hAnsi="Times New Roman" w:cs="Times New Roman"/>
          <w:b/>
          <w:sz w:val="28"/>
          <w:szCs w:val="28"/>
          <w:highlight w:val="yellow"/>
        </w:rPr>
        <w:t>Supplementary Information</w:t>
      </w:r>
    </w:p>
    <w:p w14:paraId="72D305D9" w14:textId="77777777" w:rsidR="00103579" w:rsidRPr="004B0DA6" w:rsidRDefault="00103579" w:rsidP="00103579">
      <w:pPr>
        <w:pStyle w:val="BodyText"/>
        <w:spacing w:before="1"/>
        <w:rPr>
          <w:rFonts w:ascii="Times New Roman" w:hAnsi="Times New Roman" w:cs="Times New Roman"/>
          <w:b/>
        </w:rPr>
      </w:pPr>
      <w:r w:rsidRPr="004B0DA6">
        <w:rPr>
          <w:rFonts w:ascii="Times New Roman" w:hAnsi="Times New Roman" w:cs="Times New Roman"/>
          <w:noProof/>
        </w:rPr>
        <mc:AlternateContent>
          <mc:Choice Requires="wpg">
            <w:drawing>
              <wp:anchor distT="0" distB="0" distL="0" distR="0" simplePos="0" relativeHeight="251706368" behindDoc="1" locked="0" layoutInCell="1" allowOverlap="1" wp14:anchorId="6B9FCC7C" wp14:editId="6C74B48B">
                <wp:simplePos x="0" y="0"/>
                <wp:positionH relativeFrom="page">
                  <wp:posOffset>847725</wp:posOffset>
                </wp:positionH>
                <wp:positionV relativeFrom="paragraph">
                  <wp:posOffset>184785</wp:posOffset>
                </wp:positionV>
                <wp:extent cx="6076950" cy="942975"/>
                <wp:effectExtent l="0" t="0" r="0" b="0"/>
                <wp:wrapTopAndBottom/>
                <wp:docPr id="3" name="docshapegroup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942975"/>
                          <a:chOff x="1831" y="290"/>
                          <a:chExt cx="8782" cy="1263"/>
                        </a:xfrm>
                      </wpg:grpSpPr>
                      <wps:wsp>
                        <wps:cNvPr id="342" name="docshape329"/>
                        <wps:cNvSpPr>
                          <a:spLocks/>
                        </wps:cNvSpPr>
                        <wps:spPr bwMode="auto">
                          <a:xfrm>
                            <a:off x="1831" y="289"/>
                            <a:ext cx="8782" cy="1263"/>
                          </a:xfrm>
                          <a:custGeom>
                            <a:avLst/>
                            <a:gdLst>
                              <a:gd name="T0" fmla="+- 0 10495 1831"/>
                              <a:gd name="T1" fmla="*/ T0 w 8782"/>
                              <a:gd name="T2" fmla="+- 0 393 290"/>
                              <a:gd name="T3" fmla="*/ 393 h 1263"/>
                              <a:gd name="T4" fmla="+- 0 10495 1831"/>
                              <a:gd name="T5" fmla="*/ T4 w 8782"/>
                              <a:gd name="T6" fmla="+- 0 410 290"/>
                              <a:gd name="T7" fmla="*/ 410 h 1263"/>
                              <a:gd name="T8" fmla="+- 0 1949 1831"/>
                              <a:gd name="T9" fmla="*/ T8 w 8782"/>
                              <a:gd name="T10" fmla="+- 0 1435 290"/>
                              <a:gd name="T11" fmla="*/ 1435 h 1263"/>
                              <a:gd name="T12" fmla="+- 0 1949 1831"/>
                              <a:gd name="T13" fmla="*/ T12 w 8782"/>
                              <a:gd name="T14" fmla="+- 0 407 290"/>
                              <a:gd name="T15" fmla="*/ 407 h 1263"/>
                              <a:gd name="T16" fmla="+- 0 10495 1831"/>
                              <a:gd name="T17" fmla="*/ T16 w 8782"/>
                              <a:gd name="T18" fmla="+- 0 393 290"/>
                              <a:gd name="T19" fmla="*/ 393 h 1263"/>
                              <a:gd name="T20" fmla="+- 0 1934 1831"/>
                              <a:gd name="T21" fmla="*/ T20 w 8782"/>
                              <a:gd name="T22" fmla="+- 0 393 290"/>
                              <a:gd name="T23" fmla="*/ 393 h 1263"/>
                              <a:gd name="T24" fmla="+- 0 1934 1831"/>
                              <a:gd name="T25" fmla="*/ T24 w 8782"/>
                              <a:gd name="T26" fmla="+- 0 410 290"/>
                              <a:gd name="T27" fmla="*/ 410 h 1263"/>
                              <a:gd name="T28" fmla="+- 0 1934 1831"/>
                              <a:gd name="T29" fmla="*/ T28 w 8782"/>
                              <a:gd name="T30" fmla="+- 0 1449 290"/>
                              <a:gd name="T31" fmla="*/ 1449 h 1263"/>
                              <a:gd name="T32" fmla="+- 0 10495 1831"/>
                              <a:gd name="T33" fmla="*/ T32 w 8782"/>
                              <a:gd name="T34" fmla="+- 0 1449 290"/>
                              <a:gd name="T35" fmla="*/ 1449 h 1263"/>
                              <a:gd name="T36" fmla="+- 0 10510 1831"/>
                              <a:gd name="T37" fmla="*/ T36 w 8782"/>
                              <a:gd name="T38" fmla="+- 0 1435 290"/>
                              <a:gd name="T39" fmla="*/ 1435 h 1263"/>
                              <a:gd name="T40" fmla="+- 0 10510 1831"/>
                              <a:gd name="T41" fmla="*/ T40 w 8782"/>
                              <a:gd name="T42" fmla="+- 0 407 290"/>
                              <a:gd name="T43" fmla="*/ 407 h 1263"/>
                              <a:gd name="T44" fmla="+- 0 10584 1831"/>
                              <a:gd name="T45" fmla="*/ T44 w 8782"/>
                              <a:gd name="T46" fmla="+- 0 319 290"/>
                              <a:gd name="T47" fmla="*/ 319 h 1263"/>
                              <a:gd name="T48" fmla="+- 0 10524 1831"/>
                              <a:gd name="T49" fmla="*/ T48 w 8782"/>
                              <a:gd name="T50" fmla="+- 0 379 290"/>
                              <a:gd name="T51" fmla="*/ 379 h 1263"/>
                              <a:gd name="T52" fmla="+- 0 10524 1831"/>
                              <a:gd name="T53" fmla="*/ T52 w 8782"/>
                              <a:gd name="T54" fmla="+- 0 1435 290"/>
                              <a:gd name="T55" fmla="*/ 1435 h 1263"/>
                              <a:gd name="T56" fmla="+- 0 10495 1831"/>
                              <a:gd name="T57" fmla="*/ T56 w 8782"/>
                              <a:gd name="T58" fmla="+- 0 1463 290"/>
                              <a:gd name="T59" fmla="*/ 1463 h 1263"/>
                              <a:gd name="T60" fmla="+- 0 1920 1831"/>
                              <a:gd name="T61" fmla="*/ T60 w 8782"/>
                              <a:gd name="T62" fmla="+- 0 1463 290"/>
                              <a:gd name="T63" fmla="*/ 1463 h 1263"/>
                              <a:gd name="T64" fmla="+- 0 1920 1831"/>
                              <a:gd name="T65" fmla="*/ T64 w 8782"/>
                              <a:gd name="T66" fmla="+- 0 410 290"/>
                              <a:gd name="T67" fmla="*/ 410 h 1263"/>
                              <a:gd name="T68" fmla="+- 0 1949 1831"/>
                              <a:gd name="T69" fmla="*/ T68 w 8782"/>
                              <a:gd name="T70" fmla="+- 0 379 290"/>
                              <a:gd name="T71" fmla="*/ 379 h 1263"/>
                              <a:gd name="T72" fmla="+- 0 10524 1831"/>
                              <a:gd name="T73" fmla="*/ T72 w 8782"/>
                              <a:gd name="T74" fmla="+- 0 379 290"/>
                              <a:gd name="T75" fmla="*/ 379 h 1263"/>
                              <a:gd name="T76" fmla="+- 0 10495 1831"/>
                              <a:gd name="T77" fmla="*/ T76 w 8782"/>
                              <a:gd name="T78" fmla="+- 0 319 290"/>
                              <a:gd name="T79" fmla="*/ 319 h 1263"/>
                              <a:gd name="T80" fmla="+- 0 1860 1831"/>
                              <a:gd name="T81" fmla="*/ T80 w 8782"/>
                              <a:gd name="T82" fmla="+- 0 319 290"/>
                              <a:gd name="T83" fmla="*/ 319 h 1263"/>
                              <a:gd name="T84" fmla="+- 0 1860 1831"/>
                              <a:gd name="T85" fmla="*/ T84 w 8782"/>
                              <a:gd name="T86" fmla="+- 0 379 290"/>
                              <a:gd name="T87" fmla="*/ 379 h 1263"/>
                              <a:gd name="T88" fmla="+- 0 1860 1831"/>
                              <a:gd name="T89" fmla="*/ T88 w 8782"/>
                              <a:gd name="T90" fmla="+- 0 1435 290"/>
                              <a:gd name="T91" fmla="*/ 1435 h 1263"/>
                              <a:gd name="T92" fmla="+- 0 1860 1831"/>
                              <a:gd name="T93" fmla="*/ T92 w 8782"/>
                              <a:gd name="T94" fmla="+- 0 1523 290"/>
                              <a:gd name="T95" fmla="*/ 1523 h 1263"/>
                              <a:gd name="T96" fmla="+- 0 1949 1831"/>
                              <a:gd name="T97" fmla="*/ T96 w 8782"/>
                              <a:gd name="T98" fmla="+- 0 1523 290"/>
                              <a:gd name="T99" fmla="*/ 1523 h 1263"/>
                              <a:gd name="T100" fmla="+- 0 10524 1831"/>
                              <a:gd name="T101" fmla="*/ T100 w 8782"/>
                              <a:gd name="T102" fmla="+- 0 1523 290"/>
                              <a:gd name="T103" fmla="*/ 1523 h 1263"/>
                              <a:gd name="T104" fmla="+- 0 10584 1831"/>
                              <a:gd name="T105" fmla="*/ T104 w 8782"/>
                              <a:gd name="T106" fmla="+- 0 1463 290"/>
                              <a:gd name="T107" fmla="*/ 1463 h 1263"/>
                              <a:gd name="T108" fmla="+- 0 10584 1831"/>
                              <a:gd name="T109" fmla="*/ T108 w 8782"/>
                              <a:gd name="T110" fmla="+- 0 410 290"/>
                              <a:gd name="T111" fmla="*/ 410 h 1263"/>
                              <a:gd name="T112" fmla="+- 0 10584 1831"/>
                              <a:gd name="T113" fmla="*/ T112 w 8782"/>
                              <a:gd name="T114" fmla="+- 0 319 290"/>
                              <a:gd name="T115" fmla="*/ 319 h 1263"/>
                              <a:gd name="T116" fmla="+- 0 10613 1831"/>
                              <a:gd name="T117" fmla="*/ T116 w 8782"/>
                              <a:gd name="T118" fmla="+- 0 290 290"/>
                              <a:gd name="T119" fmla="*/ 290 h 1263"/>
                              <a:gd name="T120" fmla="+- 0 10598 1831"/>
                              <a:gd name="T121" fmla="*/ T120 w 8782"/>
                              <a:gd name="T122" fmla="+- 0 304 290"/>
                              <a:gd name="T123" fmla="*/ 304 h 1263"/>
                              <a:gd name="T124" fmla="+- 0 10598 1831"/>
                              <a:gd name="T125" fmla="*/ T124 w 8782"/>
                              <a:gd name="T126" fmla="+- 0 1435 290"/>
                              <a:gd name="T127" fmla="*/ 1435 h 1263"/>
                              <a:gd name="T128" fmla="+- 0 10495 1831"/>
                              <a:gd name="T129" fmla="*/ T128 w 8782"/>
                              <a:gd name="T130" fmla="+- 0 1538 290"/>
                              <a:gd name="T131" fmla="*/ 1538 h 1263"/>
                              <a:gd name="T132" fmla="+- 0 1949 1831"/>
                              <a:gd name="T133" fmla="*/ T132 w 8782"/>
                              <a:gd name="T134" fmla="+- 0 1538 290"/>
                              <a:gd name="T135" fmla="*/ 1538 h 1263"/>
                              <a:gd name="T136" fmla="+- 0 1846 1831"/>
                              <a:gd name="T137" fmla="*/ T136 w 8782"/>
                              <a:gd name="T138" fmla="+- 0 1435 290"/>
                              <a:gd name="T139" fmla="*/ 1435 h 1263"/>
                              <a:gd name="T140" fmla="+- 0 1846 1831"/>
                              <a:gd name="T141" fmla="*/ T140 w 8782"/>
                              <a:gd name="T142" fmla="+- 0 304 290"/>
                              <a:gd name="T143" fmla="*/ 304 h 1263"/>
                              <a:gd name="T144" fmla="+- 0 1949 1831"/>
                              <a:gd name="T145" fmla="*/ T144 w 8782"/>
                              <a:gd name="T146" fmla="+- 0 304 290"/>
                              <a:gd name="T147" fmla="*/ 304 h 1263"/>
                              <a:gd name="T148" fmla="+- 0 10598 1831"/>
                              <a:gd name="T149" fmla="*/ T148 w 8782"/>
                              <a:gd name="T150" fmla="+- 0 304 290"/>
                              <a:gd name="T151" fmla="*/ 304 h 1263"/>
                              <a:gd name="T152" fmla="+- 0 10495 1831"/>
                              <a:gd name="T153" fmla="*/ T152 w 8782"/>
                              <a:gd name="T154" fmla="+- 0 290 290"/>
                              <a:gd name="T155" fmla="*/ 290 h 1263"/>
                              <a:gd name="T156" fmla="+- 0 1949 1831"/>
                              <a:gd name="T157" fmla="*/ T156 w 8782"/>
                              <a:gd name="T158" fmla="+- 0 290 290"/>
                              <a:gd name="T159" fmla="*/ 290 h 1263"/>
                              <a:gd name="T160" fmla="+- 0 1831 1831"/>
                              <a:gd name="T161" fmla="*/ T160 w 8782"/>
                              <a:gd name="T162" fmla="+- 0 290 290"/>
                              <a:gd name="T163" fmla="*/ 290 h 1263"/>
                              <a:gd name="T164" fmla="+- 0 1831 1831"/>
                              <a:gd name="T165" fmla="*/ T164 w 8782"/>
                              <a:gd name="T166" fmla="+- 0 410 290"/>
                              <a:gd name="T167" fmla="*/ 410 h 1263"/>
                              <a:gd name="T168" fmla="+- 0 1831 1831"/>
                              <a:gd name="T169" fmla="*/ T168 w 8782"/>
                              <a:gd name="T170" fmla="+- 0 1538 290"/>
                              <a:gd name="T171" fmla="*/ 1538 h 1263"/>
                              <a:gd name="T172" fmla="+- 0 1846 1831"/>
                              <a:gd name="T173" fmla="*/ T172 w 8782"/>
                              <a:gd name="T174" fmla="+- 0 1552 290"/>
                              <a:gd name="T175" fmla="*/ 1552 h 1263"/>
                              <a:gd name="T176" fmla="+- 0 1949 1831"/>
                              <a:gd name="T177" fmla="*/ T176 w 8782"/>
                              <a:gd name="T178" fmla="+- 0 1552 290"/>
                              <a:gd name="T179" fmla="*/ 1552 h 1263"/>
                              <a:gd name="T180" fmla="+- 0 10598 1831"/>
                              <a:gd name="T181" fmla="*/ T180 w 8782"/>
                              <a:gd name="T182" fmla="+- 0 1552 290"/>
                              <a:gd name="T183" fmla="*/ 1552 h 1263"/>
                              <a:gd name="T184" fmla="+- 0 10613 1831"/>
                              <a:gd name="T185" fmla="*/ T184 w 8782"/>
                              <a:gd name="T186" fmla="+- 0 1538 290"/>
                              <a:gd name="T187" fmla="*/ 1538 h 1263"/>
                              <a:gd name="T188" fmla="+- 0 10613 1831"/>
                              <a:gd name="T189" fmla="*/ T188 w 8782"/>
                              <a:gd name="T190" fmla="+- 0 410 290"/>
                              <a:gd name="T191" fmla="*/ 410 h 1263"/>
                              <a:gd name="T192" fmla="+- 0 10613 1831"/>
                              <a:gd name="T193" fmla="*/ T192 w 8782"/>
                              <a:gd name="T194" fmla="+- 0 290 290"/>
                              <a:gd name="T195" fmla="*/ 290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782" h="1263">
                                <a:moveTo>
                                  <a:pt x="8679" y="103"/>
                                </a:moveTo>
                                <a:lnTo>
                                  <a:pt x="8664" y="103"/>
                                </a:lnTo>
                                <a:lnTo>
                                  <a:pt x="8664" y="117"/>
                                </a:lnTo>
                                <a:lnTo>
                                  <a:pt x="8664" y="120"/>
                                </a:lnTo>
                                <a:lnTo>
                                  <a:pt x="8664" y="1145"/>
                                </a:lnTo>
                                <a:lnTo>
                                  <a:pt x="118" y="1145"/>
                                </a:lnTo>
                                <a:lnTo>
                                  <a:pt x="118" y="120"/>
                                </a:lnTo>
                                <a:lnTo>
                                  <a:pt x="118" y="117"/>
                                </a:lnTo>
                                <a:lnTo>
                                  <a:pt x="8664" y="117"/>
                                </a:lnTo>
                                <a:lnTo>
                                  <a:pt x="8664" y="103"/>
                                </a:lnTo>
                                <a:lnTo>
                                  <a:pt x="118" y="103"/>
                                </a:lnTo>
                                <a:lnTo>
                                  <a:pt x="103" y="103"/>
                                </a:lnTo>
                                <a:lnTo>
                                  <a:pt x="103" y="117"/>
                                </a:lnTo>
                                <a:lnTo>
                                  <a:pt x="103" y="120"/>
                                </a:lnTo>
                                <a:lnTo>
                                  <a:pt x="103" y="1145"/>
                                </a:lnTo>
                                <a:lnTo>
                                  <a:pt x="103" y="1159"/>
                                </a:lnTo>
                                <a:lnTo>
                                  <a:pt x="118" y="1159"/>
                                </a:lnTo>
                                <a:lnTo>
                                  <a:pt x="8664" y="1159"/>
                                </a:lnTo>
                                <a:lnTo>
                                  <a:pt x="8679" y="1159"/>
                                </a:lnTo>
                                <a:lnTo>
                                  <a:pt x="8679" y="1145"/>
                                </a:lnTo>
                                <a:lnTo>
                                  <a:pt x="8679" y="120"/>
                                </a:lnTo>
                                <a:lnTo>
                                  <a:pt x="8679" y="117"/>
                                </a:lnTo>
                                <a:lnTo>
                                  <a:pt x="8679" y="103"/>
                                </a:lnTo>
                                <a:close/>
                                <a:moveTo>
                                  <a:pt x="8753" y="29"/>
                                </a:moveTo>
                                <a:lnTo>
                                  <a:pt x="8693" y="29"/>
                                </a:lnTo>
                                <a:lnTo>
                                  <a:pt x="8693" y="89"/>
                                </a:lnTo>
                                <a:lnTo>
                                  <a:pt x="8693" y="120"/>
                                </a:lnTo>
                                <a:lnTo>
                                  <a:pt x="8693" y="1145"/>
                                </a:lnTo>
                                <a:lnTo>
                                  <a:pt x="8693" y="1173"/>
                                </a:lnTo>
                                <a:lnTo>
                                  <a:pt x="8664" y="1173"/>
                                </a:lnTo>
                                <a:lnTo>
                                  <a:pt x="118" y="1173"/>
                                </a:lnTo>
                                <a:lnTo>
                                  <a:pt x="89" y="1173"/>
                                </a:lnTo>
                                <a:lnTo>
                                  <a:pt x="89" y="1145"/>
                                </a:lnTo>
                                <a:lnTo>
                                  <a:pt x="89" y="120"/>
                                </a:lnTo>
                                <a:lnTo>
                                  <a:pt x="89" y="89"/>
                                </a:lnTo>
                                <a:lnTo>
                                  <a:pt x="118" y="89"/>
                                </a:lnTo>
                                <a:lnTo>
                                  <a:pt x="8664" y="89"/>
                                </a:lnTo>
                                <a:lnTo>
                                  <a:pt x="8693" y="89"/>
                                </a:lnTo>
                                <a:lnTo>
                                  <a:pt x="8693" y="29"/>
                                </a:lnTo>
                                <a:lnTo>
                                  <a:pt x="8664" y="29"/>
                                </a:lnTo>
                                <a:lnTo>
                                  <a:pt x="118" y="29"/>
                                </a:lnTo>
                                <a:lnTo>
                                  <a:pt x="29" y="29"/>
                                </a:lnTo>
                                <a:lnTo>
                                  <a:pt x="29" y="89"/>
                                </a:lnTo>
                                <a:lnTo>
                                  <a:pt x="29" y="120"/>
                                </a:lnTo>
                                <a:lnTo>
                                  <a:pt x="29" y="1145"/>
                                </a:lnTo>
                                <a:lnTo>
                                  <a:pt x="29" y="1173"/>
                                </a:lnTo>
                                <a:lnTo>
                                  <a:pt x="29" y="1233"/>
                                </a:lnTo>
                                <a:lnTo>
                                  <a:pt x="89" y="1233"/>
                                </a:lnTo>
                                <a:lnTo>
                                  <a:pt x="118" y="1233"/>
                                </a:lnTo>
                                <a:lnTo>
                                  <a:pt x="8664" y="1233"/>
                                </a:lnTo>
                                <a:lnTo>
                                  <a:pt x="8693" y="1233"/>
                                </a:lnTo>
                                <a:lnTo>
                                  <a:pt x="8753" y="1233"/>
                                </a:lnTo>
                                <a:lnTo>
                                  <a:pt x="8753" y="1173"/>
                                </a:lnTo>
                                <a:lnTo>
                                  <a:pt x="8753" y="1145"/>
                                </a:lnTo>
                                <a:lnTo>
                                  <a:pt x="8753" y="120"/>
                                </a:lnTo>
                                <a:lnTo>
                                  <a:pt x="8753" y="89"/>
                                </a:lnTo>
                                <a:lnTo>
                                  <a:pt x="8753" y="29"/>
                                </a:lnTo>
                                <a:close/>
                                <a:moveTo>
                                  <a:pt x="8782" y="0"/>
                                </a:moveTo>
                                <a:lnTo>
                                  <a:pt x="8767" y="0"/>
                                </a:lnTo>
                                <a:lnTo>
                                  <a:pt x="8767" y="14"/>
                                </a:lnTo>
                                <a:lnTo>
                                  <a:pt x="8767" y="120"/>
                                </a:lnTo>
                                <a:lnTo>
                                  <a:pt x="8767" y="1145"/>
                                </a:lnTo>
                                <a:lnTo>
                                  <a:pt x="8767" y="1248"/>
                                </a:lnTo>
                                <a:lnTo>
                                  <a:pt x="8664" y="1248"/>
                                </a:lnTo>
                                <a:lnTo>
                                  <a:pt x="118" y="1248"/>
                                </a:lnTo>
                                <a:lnTo>
                                  <a:pt x="15" y="1248"/>
                                </a:lnTo>
                                <a:lnTo>
                                  <a:pt x="15" y="1145"/>
                                </a:lnTo>
                                <a:lnTo>
                                  <a:pt x="15" y="120"/>
                                </a:lnTo>
                                <a:lnTo>
                                  <a:pt x="15" y="14"/>
                                </a:lnTo>
                                <a:lnTo>
                                  <a:pt x="118" y="14"/>
                                </a:lnTo>
                                <a:lnTo>
                                  <a:pt x="8664" y="14"/>
                                </a:lnTo>
                                <a:lnTo>
                                  <a:pt x="8767" y="14"/>
                                </a:lnTo>
                                <a:lnTo>
                                  <a:pt x="8767" y="0"/>
                                </a:lnTo>
                                <a:lnTo>
                                  <a:pt x="8664" y="0"/>
                                </a:lnTo>
                                <a:lnTo>
                                  <a:pt x="118" y="0"/>
                                </a:lnTo>
                                <a:lnTo>
                                  <a:pt x="15" y="0"/>
                                </a:lnTo>
                                <a:lnTo>
                                  <a:pt x="0" y="0"/>
                                </a:lnTo>
                                <a:lnTo>
                                  <a:pt x="0" y="14"/>
                                </a:lnTo>
                                <a:lnTo>
                                  <a:pt x="0" y="120"/>
                                </a:lnTo>
                                <a:lnTo>
                                  <a:pt x="0" y="1145"/>
                                </a:lnTo>
                                <a:lnTo>
                                  <a:pt x="0" y="1248"/>
                                </a:lnTo>
                                <a:lnTo>
                                  <a:pt x="0" y="1262"/>
                                </a:lnTo>
                                <a:lnTo>
                                  <a:pt x="15" y="1262"/>
                                </a:lnTo>
                                <a:lnTo>
                                  <a:pt x="118" y="1262"/>
                                </a:lnTo>
                                <a:lnTo>
                                  <a:pt x="8664" y="1262"/>
                                </a:lnTo>
                                <a:lnTo>
                                  <a:pt x="8767" y="1262"/>
                                </a:lnTo>
                                <a:lnTo>
                                  <a:pt x="8782" y="1262"/>
                                </a:lnTo>
                                <a:lnTo>
                                  <a:pt x="8782" y="1248"/>
                                </a:lnTo>
                                <a:lnTo>
                                  <a:pt x="8782" y="1145"/>
                                </a:lnTo>
                                <a:lnTo>
                                  <a:pt x="8782" y="120"/>
                                </a:lnTo>
                                <a:lnTo>
                                  <a:pt x="8782" y="14"/>
                                </a:lnTo>
                                <a:lnTo>
                                  <a:pt x="87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docshape330"/>
                        <wps:cNvSpPr txBox="1">
                          <a:spLocks noChangeArrowheads="1"/>
                        </wps:cNvSpPr>
                        <wps:spPr bwMode="auto">
                          <a:xfrm>
                            <a:off x="1920" y="364"/>
                            <a:ext cx="8604"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F6436" w14:textId="77777777" w:rsidR="00103579" w:rsidRDefault="00103579" w:rsidP="00103579">
                              <w:pPr>
                                <w:spacing w:before="9"/>
                                <w:rPr>
                                  <w:b/>
                                  <w:sz w:val="27"/>
                                </w:rPr>
                              </w:pPr>
                            </w:p>
                            <w:p w14:paraId="6E143079" w14:textId="77777777" w:rsidR="00103579" w:rsidRDefault="00103579" w:rsidP="00103579">
                              <w:pPr>
                                <w:spacing w:before="1"/>
                                <w:ind w:left="84"/>
                                <w:jc w:val="center"/>
                                <w:rPr>
                                  <w:sz w:val="24"/>
                                </w:rPr>
                              </w:pPr>
                              <w:r w:rsidRPr="00DA17A1">
                                <w:rPr>
                                  <w:sz w:val="24"/>
                                  <w:highlight w:val="yellow"/>
                                </w:rPr>
                                <w:t>This section contains additional information required by generally accepted accounting principles.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FCC7C" id="docshapegroup328" o:spid="_x0000_s1065" style="position:absolute;margin-left:66.75pt;margin-top:14.55pt;width:478.5pt;height:74.25pt;z-index:-251610112;mso-wrap-distance-left:0;mso-wrap-distance-right:0;mso-position-horizontal-relative:page" coordorigin="1831,290" coordsize="8782,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9ogQsAAAk+AAAOAAAAZHJzL2Uyb0RvYy54bWy8W92u47YRvi/QdxB82SJrjf5lrDdIN82i&#10;QNoGiPoAOrb8g9qWK+msz/bpO0OJMsnVkNy0aC7WPvEnajjfzJAff95//3a9BJ+brj+3t+0K3oWr&#10;oLnt2v35dtyu/lH99F2xCvqhvu3rS3trtqsvTb/6/sPvf/f+cd80UXtqL/umC7CRW7953Ler0zDc&#10;N+t1vzs117p/196bG/54aLtrPeCf3XG97+oHtn69rKMwzNaPttvfu3bX9D3+3x/HH1cfRPuHQ7Mb&#10;/n449M0QXLYrtG0Q/3bi3xf6d/3hfb05dvX9dN5NZtS/wYprfb7hS+emfqyHOnjtzl81dT3vurZv&#10;D8O7XXtdt4fDedeIPmBvIDR686lrX++iL8fN43if3YSuNfz0m5vd/e3zp+7+6/2XbrQev/7c7v7Z&#10;o1/Wj/txo/5Ofx9HcPDy+Gu7Rz7r16EVHX87dFdqArsUvAn/fpn927wNwQ7/ZxbmWZkiDTv8rUyi&#10;Mk9HAnYnZIkegyKGVYC/RuXEze705+npIi+i8VGIspgeXNeb8bXC1Mk0oh5jqX+6q//v3PXrqb43&#10;goWe3PFLF5z321WcoDG3+oo+2Le7njBxVJJV9HrESZ/2qkOVXwjWo9+drnz6pBDt1xvpT4tH6s3u&#10;tR8+Na0gpf78cz+Mob7Hb4Lq/WR9hXwcrheM+j9+F4QBhEmZBuKd0wMSh8SMuD+sgyoMHoF4vQFC&#10;pyiNxWUczEwe5zfGEoQtEeQUSEYxgWZUIlEOu1KJI7sSxq5MgkRjCYRLduUShC0RZNkurGhKF6FM&#10;ykV3lRJGZhWMWWA4P4nTJcNA9T0QaNk00N3P2gYqAxVEnHU6BUmYLxqnEkAYxjadAkucqTRUkHHG&#10;6TwwoQYqDXysRQYPZZwskhqpRFQRmwU6D4xtkcqCxTadBWBtU3moIi4TIp0HJhUilQQ+FyKdBN42&#10;lYYq4tIhNmhIMLeW6ofKAhBoOeRinQY+5GKViSrm8iE2mODMU4mwmaczAWGKNWep8sYqGVXMZURs&#10;kMEUk1jlwlJMEoMM1rxEpaNKuKSgAVMpnEw1SVQq+GqSGFSEabGcsYlKRpVwWZHoXMSwGHiJSgRh&#10;luMuMYgIU8zGJWITlYoq4dKCpkyK5+J80bhUpYEwy8alOg0YdYxxqcpElXJJkRpMMFGXqjxYoi7V&#10;ieBzNlW5qFIuKVKDiyRbnJKkKhNAoGXvZToVUOIYsMRsppJRZVxOZAYZjHU43Z0CACcTNusMLljr&#10;VDKqjEuKTOeCGSoylQh+qMgMIrh5U6YyUWVcTuQ6EUxO5CoNfE7kBg1sTuQqEVXO5USu88AZp7Jg&#10;MU5ngc+IXCWiyrmMyHUimFKXqzTwpa7QaYACQ30pHwqViKrg8oEUnlrplstwobJgsU1ngbdN5aHC&#10;cWRZ2hQ6DwyphUoCT2qhk8DbptJQFVw2oFpW/Sbq68LEqVRZsBThUqeBta5UiahKLh1Kg4g0WqzB&#10;pcoDEGi5Bpc6EazKKVUqqpLLh9KggrNOZcJiHYQGF2wxgVClo8IHmciD0OCDMRFClQ+rjQYj7PQJ&#10;pwcyskjHYvFhbTRYYYYyCFVWLGMZhAYvFhtVatBGLkvAkNs0WC1kCWhym0DLcQim3OYtNAQ3r7hB&#10;J4YpzgAqK3wFBDBICTOIF+szgEpLhQ9yPINOC/pv2YcqJwRifGgq7zAti2ULde0NrPiGSM+WGGN2&#10;iWVdfiOIs1CnBDOCtVBlBZdV2FwxNDhXrkFT4ZZ6DaYO5xfxcI3yOZVEG9lcMbV4GheLbqQF23HI&#10;prkpoRg/mmqcmwCCrsaBleNg6nHWRJUXq4lGuhRJthyLuiIHVpKDpyYHX1EOpipnTdRVOT7HJbSh&#10;y7l00YQ5gRiaTWXO0qwrc1wnYQ3UWWENVCuYzUC9gFnyWZfnwOpzMAU6U3F0hc678CuJzi7J6xod&#10;R3zOh4ZK56q2ptItVdtU6SzJukoHVqaDodNZA9XyZTHQ1Om4r7ScybpQB1apgyHVOQM1qW4z0BhV&#10;eAPV4oXL4Wya+Kl18JTrYOp13kCVEjSQHVEMyS4KMXpo2oOd931AE+22cm3KdrYW6rIdWN0OhnCH&#10;FDNq0USVFIFiqmGu1y5Wq4Au3oFV72DId95ElRabiaaE5+c3uogHVsWDIeNZGzUhb7XRyBZ+Hluo&#10;zFTAqnnUtHLeMu4vcpMHTdDbotGU9BYbVWrQRjZjDFnP6RVN1lv0iinreQt1YY+rnNy4Ykh7ripq&#10;0l6viriJf5Sb0vVJ7lPv3m7TRjV+C2o6TRKKcwb3tqeDAhXOOvGYQCXPASCKdrUZMMYEgfPp0IAd&#10;jOQQGEUg7m2jdXY0KTsBF0cZ3HCcpAi42Mp3wknzEBy1io8x0dRR1A1e8KmrOIX3gdO8nIyJ/bpK&#10;c2QB9+sqzVcJjvNMH2No9ijgfl2lqRzBcQrm0zrNqwTcr6s0yxFwv67SnIPg8ykWe4hlU1dx5Pax&#10;nRbQqXUcRn3gNDYKuF9XaZwScL+u0pBBcKz0PsZQ9RZwv67igRgBxwLo0zpVNWodq5EXfOpq6ddV&#10;sZxHzdMynE/7Ym1tfMCvuxBO/aUVKq83zNUJF4z8Hpj6DHhwwusBWaHAs0SBrFG0uOH3BtlpzzIl&#10;1g+EWz0LFchKRSrcyyRZq3BJxvOBKa4Bd5D93iA77VmwcGIyxjbOovzeIGsW4Nanl0myaoFn2QJZ&#10;t0hy+L1BdtqzdIGsXTAeJHQOp2KWLUIDt7e8TJL1C/e0PB+QTOO80e8NstOeRQzP2ExM62Vs7Pw0&#10;aerw4Kt55LVbBXjk9YWsqjf3eqC5lvwaPLar8TThCQ9h0vFK+uXafm6qVmAGmnQVGe0Kov+eFe4J&#10;udx0aIZTdg0qAfLzPrUpgbgCPTpMAuSnCcQlYz8g4CTBhgRayyYbvYGOVz8b9O2Ld6fnMUV6RX6O&#10;3pnf7MLRFpEHLWIrSbjG3pMZ5/KMfK/T1TNwrkuyp/LT6PGzgEmA/DQDx42U8f0NSEeMPXPG4aEn&#10;0BkT0sqvuN5d2r7BiF9I3XwaIMYzylgs+MydCsyMlO6Un9KtE248lYwtyt/lp4HDHRtrNhbZ1KAz&#10;HRUkjgC2DC+yZ3WxI+cEokHF2uRUAr1xrgCZ2nN5Z4Q5nC174YDNbnHivpFjZ8xMdDhwshsOGP5M&#10;tcwP5ejq1JYrSCXMVcZmnCOaJC5Cce0TdS6c9BxOxx0NzpnhRsq8dCJlkXG/fUY60+iJdCXSjHSl&#10;kgQ6QqKQOCRJ58ZWZ2ntE4NS1jq2zOa0EK8AZdWUn1P1lDA8GKDbwOGcnZ/e666y86sjPNBqffkz&#10;lhzIZ3i6gOM0GvfQ7a+mgxBimuIIDolzeEfC7M6ee2GHzVXWmztHe5IQGVsyBOSnHHCnImuHyU44&#10;UKN/7SA88OQM5BHj8MQEcpA0oVwlWDbmiCAJw/09W4zLyIhcOKkpXMBndDiRkncUZnYjRwlH+fAN&#10;SId/nm26HP5EOgh8Al0BbxRTGeiy/uKkk4SsWKafFS0JYeXuW99ezvufzpcLTYv77vjy8dIFn2u6&#10;Dyr+m1jXYBexmXBr6TEZFOJC5Hhlb7zj99Luv+D1va4dL5XiJVj8cmq7f6+CB14o3a76f73WXbMK&#10;Ln+54RXEEk84YKwN4o8kzdFHQaf+8qL+Ut922NR2Naxw84O+fhzGW6uv9+58POGbQEj0W/sD3sA8&#10;nOl2H96C7DejVdMfeAvy/3YdEnWlcR0STxChVWTUdB0yGN7+1NItT2H6dDEyuLUfT7jB0/zQde3j&#10;1NR7dNa4vKk8Orbjd18ST72LghRjHUQDlPuSWYiLEnT5FBdQZejJi6v3brwvGdCX7YpWUISZ8u4k&#10;xdoEoTbn4CDdo/0PoYS+ipbh7eVtvDgqJhNPqrwDaA6eOXDwyxg0+OV/GDDiNi3eN8Y+aBea1b9F&#10;/543uD/8BwAA//8DAFBLAwQUAAYACAAAACEA/pw82eEAAAALAQAADwAAAGRycy9kb3ducmV2Lnht&#10;bEyPQWvCQBCF74X+h2UKvdXdGNSaZiMibU9SqBbE25iMSTC7G7JrEv99x1N7mzfzePO9dDWaRvTU&#10;+dpZDdFEgSCbu6K2pYaf/cfLKwgf0BbYOEsabuRhlT0+pJgUbrDf1O9CKTjE+gQ1VCG0iZQ+r8ig&#10;n7iWLN/OrjMYWHalLDocONw0cqrUXBqsLX+osKVNRflldzUaPgcc1nH03m8v583tuJ99HbYRaf38&#10;NK7fQAQaw58Z7viMDhkzndzVFl40rON4xlYN02UE4m5QS8WbE0+LxRxklsr/HbJfAAAA//8DAFBL&#10;AQItABQABgAIAAAAIQC2gziS/gAAAOEBAAATAAAAAAAAAAAAAAAAAAAAAABbQ29udGVudF9UeXBl&#10;c10ueG1sUEsBAi0AFAAGAAgAAAAhADj9If/WAAAAlAEAAAsAAAAAAAAAAAAAAAAALwEAAF9yZWxz&#10;Ly5yZWxzUEsBAi0AFAAGAAgAAAAhAEG7D2iBCwAACT4AAA4AAAAAAAAAAAAAAAAALgIAAGRycy9l&#10;Mm9Eb2MueG1sUEsBAi0AFAAGAAgAAAAhAP6cPNnhAAAACwEAAA8AAAAAAAAAAAAAAAAA2w0AAGRy&#10;cy9kb3ducmV2LnhtbFBLBQYAAAAABAAEAPMAAADpDgAAAAA=&#10;">
                <v:shape id="docshape329" o:spid="_x0000_s1066" style="position:absolute;left:1831;top:289;width:8782;height:1263;visibility:visible;mso-wrap-style:square;v-text-anchor:top" coordsize="8782,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uCxQAAANwAAAAPAAAAZHJzL2Rvd25yZXYueG1sRI9Ba8JA&#10;FITvBf/D8gq9FN1oi0p0FZEKzUUwesjxkX0modm3SXaN8d93C0KPw8x8w6y3g6lFT52rLCuYTiIQ&#10;xLnVFRcKLufDeAnCeWSNtWVS8CAH283oZY2xtnc+UZ/6QgQIuxgVlN43sZQuL8mgm9iGOHhX2xn0&#10;QXaF1B3eA9zUchZFc2mw4rBQYkP7kvKf9GYUtEmm+69Dy4nLF+3u+P5IsixV6u112K1AeBr8f/jZ&#10;/tYKPj5n8HcmHAG5+QUAAP//AwBQSwECLQAUAAYACAAAACEA2+H2y+4AAACFAQAAEwAAAAAAAAAA&#10;AAAAAAAAAAAAW0NvbnRlbnRfVHlwZXNdLnhtbFBLAQItABQABgAIAAAAIQBa9CxbvwAAABUBAAAL&#10;AAAAAAAAAAAAAAAAAB8BAABfcmVscy8ucmVsc1BLAQItABQABgAIAAAAIQATCBuCxQAAANwAAAAP&#10;AAAAAAAAAAAAAAAAAAcCAABkcnMvZG93bnJldi54bWxQSwUGAAAAAAMAAwC3AAAA+QIAAAAA&#10;" path="m8679,103r-15,l8664,117r,3l8664,1145r-8546,l118,120r,-3l8664,117r,-14l118,103r-15,l103,117r,3l103,1145r,14l118,1159r8546,l8679,1159r,-14l8679,120r,-3l8679,103xm8753,29r-60,l8693,89r,31l8693,1145r,28l8664,1173r-8546,l89,1173r,-28l89,120r,-31l118,89r8546,l8693,89r,-60l8664,29,118,29r-89,l29,89r,31l29,1145r,28l29,1233r60,l118,1233r8546,l8693,1233r60,l8753,1173r,-28l8753,120r,-31l8753,29xm8782,r-15,l8767,14r,106l8767,1145r,103l8664,1248r-8546,l15,1248r,-103l15,120,15,14r103,l8664,14r103,l8767,,8664,,118,,15,,,,,14,,120,,1145r,103l,1262r15,l118,1262r8546,l8767,1262r15,l8782,1248r,-103l8782,120r,-106l8782,xe" fillcolor="black" stroked="f">
                  <v:path arrowok="t" o:connecttype="custom" o:connectlocs="8664,393;8664,410;118,1435;118,407;8664,393;103,393;103,410;103,1449;8664,1449;8679,1435;8679,407;8753,319;8693,379;8693,1435;8664,1463;89,1463;89,410;118,379;8693,379;8664,319;29,319;29,379;29,1435;29,1523;118,1523;8693,1523;8753,1463;8753,410;8753,319;8782,290;8767,304;8767,1435;8664,1538;118,1538;15,1435;15,304;118,304;8767,304;8664,290;118,290;0,290;0,410;0,1538;15,1552;118,1552;8767,1552;8782,1538;8782,410;8782,290" o:connectangles="0,0,0,0,0,0,0,0,0,0,0,0,0,0,0,0,0,0,0,0,0,0,0,0,0,0,0,0,0,0,0,0,0,0,0,0,0,0,0,0,0,0,0,0,0,0,0,0,0"/>
                </v:shape>
                <v:shape id="docshape330" o:spid="_x0000_s1067" type="#_x0000_t202" style="position:absolute;left:1920;top:364;width:8604;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2DDF6436" w14:textId="77777777" w:rsidR="00103579" w:rsidRDefault="00103579" w:rsidP="00103579">
                        <w:pPr>
                          <w:spacing w:before="9"/>
                          <w:rPr>
                            <w:b/>
                            <w:sz w:val="27"/>
                          </w:rPr>
                        </w:pPr>
                      </w:p>
                      <w:p w14:paraId="6E143079" w14:textId="77777777" w:rsidR="00103579" w:rsidRDefault="00103579" w:rsidP="00103579">
                        <w:pPr>
                          <w:spacing w:before="1"/>
                          <w:ind w:left="84"/>
                          <w:jc w:val="center"/>
                          <w:rPr>
                            <w:sz w:val="24"/>
                          </w:rPr>
                        </w:pPr>
                        <w:r w:rsidRPr="00DA17A1">
                          <w:rPr>
                            <w:sz w:val="24"/>
                            <w:highlight w:val="yellow"/>
                          </w:rPr>
                          <w:t>This section contains additional information required by generally accepted accounting principles.</w:t>
                        </w:r>
                      </w:p>
                    </w:txbxContent>
                  </v:textbox>
                </v:shape>
                <w10:wrap type="topAndBottom" anchorx="page"/>
              </v:group>
            </w:pict>
          </mc:Fallback>
        </mc:AlternateContent>
      </w:r>
    </w:p>
    <w:p w14:paraId="24945AAF" w14:textId="77777777" w:rsidR="00103579" w:rsidRPr="004B0DA6" w:rsidRDefault="00103579" w:rsidP="00103579">
      <w:pPr>
        <w:pStyle w:val="BodyText"/>
        <w:rPr>
          <w:rFonts w:ascii="Times New Roman" w:hAnsi="Times New Roman" w:cs="Times New Roman"/>
          <w:b/>
          <w:sz w:val="20"/>
        </w:rPr>
      </w:pPr>
    </w:p>
    <w:p w14:paraId="6A67A0FF" w14:textId="77777777" w:rsidR="00103579" w:rsidRPr="004B0DA6" w:rsidRDefault="00103579" w:rsidP="00103579">
      <w:pPr>
        <w:pStyle w:val="BodyText"/>
        <w:spacing w:before="5"/>
        <w:rPr>
          <w:rFonts w:ascii="Times New Roman" w:hAnsi="Times New Roman" w:cs="Times New Roman"/>
          <w:b/>
          <w:sz w:val="19"/>
        </w:rPr>
      </w:pPr>
    </w:p>
    <w:p w14:paraId="24984409" w14:textId="75E82C43" w:rsidR="00103579" w:rsidRPr="004B0DA6" w:rsidRDefault="00103579" w:rsidP="00103579">
      <w:pPr>
        <w:pStyle w:val="ListParagraph"/>
        <w:widowControl w:val="0"/>
        <w:numPr>
          <w:ilvl w:val="0"/>
          <w:numId w:val="33"/>
        </w:numPr>
        <w:tabs>
          <w:tab w:val="left" w:pos="1779"/>
          <w:tab w:val="left" w:pos="1780"/>
        </w:tabs>
        <w:autoSpaceDE w:val="0"/>
        <w:autoSpaceDN w:val="0"/>
        <w:spacing w:before="101"/>
        <w:ind w:right="1174"/>
        <w:rPr>
          <w:highlight w:val="yellow"/>
        </w:rPr>
      </w:pPr>
      <w:r w:rsidRPr="004B0DA6">
        <w:rPr>
          <w:highlight w:val="yellow"/>
        </w:rPr>
        <w:t xml:space="preserve">Schedule of </w:t>
      </w:r>
      <w:r w:rsidR="00F60626" w:rsidRPr="004B0DA6">
        <w:rPr>
          <w:highlight w:val="yellow"/>
        </w:rPr>
        <w:t>Ci</w:t>
      </w:r>
      <w:r w:rsidRPr="004B0DA6">
        <w:rPr>
          <w:highlight w:val="yellow"/>
        </w:rPr>
        <w:t>ty’s Proportionate Share of Net Pension Liability for Local Government Employees’ Retirement System</w:t>
      </w:r>
    </w:p>
    <w:p w14:paraId="0076C83E" w14:textId="77777777" w:rsidR="00103579" w:rsidRPr="004B0DA6" w:rsidRDefault="00103579" w:rsidP="00103579">
      <w:pPr>
        <w:pStyle w:val="BodyText"/>
        <w:rPr>
          <w:rFonts w:ascii="Times New Roman" w:hAnsi="Times New Roman" w:cs="Times New Roman"/>
          <w:sz w:val="24"/>
          <w:highlight w:val="yellow"/>
        </w:rPr>
      </w:pPr>
    </w:p>
    <w:p w14:paraId="67ECA420" w14:textId="028293A7" w:rsidR="00103579" w:rsidRPr="004B0DA6" w:rsidRDefault="00103579" w:rsidP="00103579">
      <w:pPr>
        <w:pStyle w:val="ListParagraph"/>
        <w:widowControl w:val="0"/>
        <w:numPr>
          <w:ilvl w:val="0"/>
          <w:numId w:val="33"/>
        </w:numPr>
        <w:tabs>
          <w:tab w:val="left" w:pos="1779"/>
          <w:tab w:val="left" w:pos="1780"/>
        </w:tabs>
        <w:autoSpaceDE w:val="0"/>
        <w:autoSpaceDN w:val="0"/>
        <w:ind w:right="1175"/>
        <w:rPr>
          <w:highlight w:val="yellow"/>
        </w:rPr>
      </w:pPr>
      <w:r w:rsidRPr="004B0DA6">
        <w:rPr>
          <w:highlight w:val="yellow"/>
        </w:rPr>
        <w:t>Schedule</w:t>
      </w:r>
      <w:r w:rsidRPr="004B0DA6">
        <w:rPr>
          <w:spacing w:val="38"/>
          <w:highlight w:val="yellow"/>
        </w:rPr>
        <w:t xml:space="preserve"> </w:t>
      </w:r>
      <w:r w:rsidRPr="004B0DA6">
        <w:rPr>
          <w:highlight w:val="yellow"/>
        </w:rPr>
        <w:t>of</w:t>
      </w:r>
      <w:r w:rsidRPr="004B0DA6">
        <w:rPr>
          <w:spacing w:val="37"/>
          <w:highlight w:val="yellow"/>
        </w:rPr>
        <w:t xml:space="preserve"> </w:t>
      </w:r>
      <w:r w:rsidRPr="004B0DA6">
        <w:rPr>
          <w:highlight w:val="yellow"/>
        </w:rPr>
        <w:t>C</w:t>
      </w:r>
      <w:r w:rsidR="00F60626" w:rsidRPr="004B0DA6">
        <w:rPr>
          <w:highlight w:val="yellow"/>
        </w:rPr>
        <w:t>i</w:t>
      </w:r>
      <w:r w:rsidRPr="004B0DA6">
        <w:rPr>
          <w:highlight w:val="yellow"/>
        </w:rPr>
        <w:t>ty’s</w:t>
      </w:r>
      <w:r w:rsidRPr="004B0DA6">
        <w:rPr>
          <w:spacing w:val="39"/>
          <w:highlight w:val="yellow"/>
        </w:rPr>
        <w:t xml:space="preserve"> </w:t>
      </w:r>
      <w:r w:rsidRPr="004B0DA6">
        <w:rPr>
          <w:highlight w:val="yellow"/>
        </w:rPr>
        <w:t>Contributions</w:t>
      </w:r>
      <w:r w:rsidRPr="004B0DA6">
        <w:rPr>
          <w:spacing w:val="37"/>
          <w:highlight w:val="yellow"/>
        </w:rPr>
        <w:t xml:space="preserve"> </w:t>
      </w:r>
      <w:r w:rsidRPr="004B0DA6">
        <w:rPr>
          <w:highlight w:val="yellow"/>
        </w:rPr>
        <w:t>to</w:t>
      </w:r>
      <w:r w:rsidRPr="004B0DA6">
        <w:rPr>
          <w:spacing w:val="35"/>
          <w:highlight w:val="yellow"/>
        </w:rPr>
        <w:t xml:space="preserve"> </w:t>
      </w:r>
      <w:r w:rsidRPr="004B0DA6">
        <w:rPr>
          <w:highlight w:val="yellow"/>
        </w:rPr>
        <w:t>Local</w:t>
      </w:r>
      <w:r w:rsidRPr="004B0DA6">
        <w:rPr>
          <w:spacing w:val="39"/>
          <w:highlight w:val="yellow"/>
        </w:rPr>
        <w:t xml:space="preserve"> </w:t>
      </w:r>
      <w:r w:rsidRPr="004B0DA6">
        <w:rPr>
          <w:highlight w:val="yellow"/>
        </w:rPr>
        <w:t>Government</w:t>
      </w:r>
      <w:r w:rsidRPr="004B0DA6">
        <w:rPr>
          <w:spacing w:val="35"/>
          <w:highlight w:val="yellow"/>
        </w:rPr>
        <w:t xml:space="preserve"> </w:t>
      </w:r>
      <w:r w:rsidRPr="004B0DA6">
        <w:rPr>
          <w:highlight w:val="yellow"/>
        </w:rPr>
        <w:t>Employees’ Retirement System</w:t>
      </w:r>
    </w:p>
    <w:p w14:paraId="7C6142E7" w14:textId="77777777" w:rsidR="00103579" w:rsidRPr="004B0DA6" w:rsidRDefault="00103579" w:rsidP="00103579">
      <w:pPr>
        <w:pStyle w:val="BodyText"/>
        <w:spacing w:before="9"/>
        <w:rPr>
          <w:rFonts w:ascii="Times New Roman" w:hAnsi="Times New Roman" w:cs="Times New Roman"/>
          <w:sz w:val="23"/>
          <w:highlight w:val="yellow"/>
        </w:rPr>
      </w:pPr>
    </w:p>
    <w:p w14:paraId="40C070D2" w14:textId="13B272F4" w:rsidR="00103579" w:rsidRPr="004B0DA6" w:rsidRDefault="00103579" w:rsidP="006F340A">
      <w:pPr>
        <w:pStyle w:val="ListParagraph"/>
        <w:widowControl w:val="0"/>
        <w:numPr>
          <w:ilvl w:val="0"/>
          <w:numId w:val="33"/>
        </w:numPr>
        <w:tabs>
          <w:tab w:val="left" w:pos="1780"/>
        </w:tabs>
        <w:autoSpaceDE w:val="0"/>
        <w:autoSpaceDN w:val="0"/>
        <w:ind w:left="1779" w:right="1179"/>
        <w:jc w:val="both"/>
        <w:rPr>
          <w:highlight w:val="yellow"/>
        </w:rPr>
      </w:pPr>
      <w:r w:rsidRPr="004B0DA6">
        <w:rPr>
          <w:highlight w:val="yellow"/>
        </w:rPr>
        <w:t xml:space="preserve">Schedule of the </w:t>
      </w:r>
      <w:r w:rsidR="00F60626" w:rsidRPr="004B0DA6">
        <w:rPr>
          <w:highlight w:val="yellow"/>
        </w:rPr>
        <w:t>City’s Proportionate Share of Net Pension Liability for the Firefighters' and Rescue Squad Workers' Pension</w:t>
      </w:r>
    </w:p>
    <w:p w14:paraId="2AFB2B59" w14:textId="77777777" w:rsidR="00F60626" w:rsidRPr="004B0DA6" w:rsidRDefault="00F60626" w:rsidP="007A4AD5">
      <w:pPr>
        <w:pStyle w:val="ListParagraph"/>
        <w:rPr>
          <w:highlight w:val="yellow"/>
        </w:rPr>
      </w:pPr>
    </w:p>
    <w:p w14:paraId="3C4B2C9C" w14:textId="51185E13" w:rsidR="00F60626" w:rsidRPr="004B0DA6" w:rsidRDefault="00F60626" w:rsidP="006F340A">
      <w:pPr>
        <w:pStyle w:val="ListParagraph"/>
        <w:widowControl w:val="0"/>
        <w:numPr>
          <w:ilvl w:val="0"/>
          <w:numId w:val="33"/>
        </w:numPr>
        <w:tabs>
          <w:tab w:val="left" w:pos="1780"/>
        </w:tabs>
        <w:autoSpaceDE w:val="0"/>
        <w:autoSpaceDN w:val="0"/>
        <w:ind w:left="1779" w:right="1179"/>
        <w:jc w:val="both"/>
        <w:rPr>
          <w:highlight w:val="yellow"/>
        </w:rPr>
      </w:pPr>
      <w:r w:rsidRPr="004B0DA6">
        <w:rPr>
          <w:highlight w:val="yellow"/>
        </w:rPr>
        <w:t>Schedule of the City’s Changes in Total Pension Liability for the Law Enforcement Officers' Special Separation Allowance</w:t>
      </w:r>
    </w:p>
    <w:p w14:paraId="6F9C9C7E" w14:textId="77777777" w:rsidR="00F60626" w:rsidRPr="004B0DA6" w:rsidRDefault="00F60626" w:rsidP="007A4AD5">
      <w:pPr>
        <w:pStyle w:val="ListParagraph"/>
        <w:rPr>
          <w:highlight w:val="yellow"/>
        </w:rPr>
      </w:pPr>
    </w:p>
    <w:p w14:paraId="2CB324EE" w14:textId="7F681D49" w:rsidR="00F60626" w:rsidRPr="004B0DA6" w:rsidRDefault="00F60626" w:rsidP="006F340A">
      <w:pPr>
        <w:pStyle w:val="ListParagraph"/>
        <w:widowControl w:val="0"/>
        <w:numPr>
          <w:ilvl w:val="0"/>
          <w:numId w:val="33"/>
        </w:numPr>
        <w:tabs>
          <w:tab w:val="left" w:pos="1780"/>
        </w:tabs>
        <w:autoSpaceDE w:val="0"/>
        <w:autoSpaceDN w:val="0"/>
        <w:ind w:left="1779" w:right="1179"/>
        <w:jc w:val="both"/>
        <w:rPr>
          <w:highlight w:val="yellow"/>
        </w:rPr>
      </w:pPr>
      <w:r w:rsidRPr="004B0DA6">
        <w:rPr>
          <w:highlight w:val="yellow"/>
        </w:rPr>
        <w:t xml:space="preserve">Schedule of </w:t>
      </w:r>
      <w:r w:rsidR="00837F79" w:rsidRPr="004B0DA6">
        <w:rPr>
          <w:highlight w:val="yellow"/>
        </w:rPr>
        <w:t xml:space="preserve">the City’s </w:t>
      </w:r>
      <w:r w:rsidRPr="004B0DA6">
        <w:rPr>
          <w:highlight w:val="yellow"/>
        </w:rPr>
        <w:t>Total Pension Liability as a Percentage of Covered Payroll for Law Enforcement Officers' Special Separation Allowance</w:t>
      </w:r>
    </w:p>
    <w:p w14:paraId="6837842D" w14:textId="77777777" w:rsidR="00103579" w:rsidRPr="004B0DA6" w:rsidRDefault="00103579" w:rsidP="00103579">
      <w:pPr>
        <w:pStyle w:val="BodyText"/>
        <w:rPr>
          <w:rFonts w:ascii="Times New Roman" w:hAnsi="Times New Roman" w:cs="Times New Roman"/>
          <w:sz w:val="24"/>
          <w:highlight w:val="yellow"/>
        </w:rPr>
      </w:pPr>
    </w:p>
    <w:p w14:paraId="58FF6D58" w14:textId="262166C2" w:rsidR="00103579" w:rsidRPr="004B0DA6" w:rsidRDefault="00103579" w:rsidP="00837F79">
      <w:pPr>
        <w:pStyle w:val="ListParagraph"/>
        <w:widowControl w:val="0"/>
        <w:numPr>
          <w:ilvl w:val="0"/>
          <w:numId w:val="33"/>
        </w:numPr>
        <w:tabs>
          <w:tab w:val="left" w:pos="1779"/>
          <w:tab w:val="left" w:pos="1780"/>
        </w:tabs>
        <w:autoSpaceDE w:val="0"/>
        <w:autoSpaceDN w:val="0"/>
        <w:spacing w:before="1"/>
        <w:rPr>
          <w:highlight w:val="yellow"/>
        </w:rPr>
      </w:pPr>
      <w:r w:rsidRPr="004B0DA6">
        <w:rPr>
          <w:highlight w:val="yellow"/>
        </w:rPr>
        <w:t>Schedule</w:t>
      </w:r>
      <w:r w:rsidRPr="004B0DA6">
        <w:rPr>
          <w:spacing w:val="-4"/>
          <w:highlight w:val="yellow"/>
        </w:rPr>
        <w:t xml:space="preserve"> </w:t>
      </w:r>
      <w:r w:rsidRPr="004B0DA6">
        <w:rPr>
          <w:highlight w:val="yellow"/>
        </w:rPr>
        <w:t>of</w:t>
      </w:r>
      <w:r w:rsidRPr="004B0DA6">
        <w:rPr>
          <w:spacing w:val="-2"/>
          <w:highlight w:val="yellow"/>
        </w:rPr>
        <w:t xml:space="preserve"> </w:t>
      </w:r>
      <w:r w:rsidR="00837F79" w:rsidRPr="004B0DA6">
        <w:rPr>
          <w:spacing w:val="-2"/>
          <w:highlight w:val="yellow"/>
        </w:rPr>
        <w:t xml:space="preserve">the City’s </w:t>
      </w:r>
      <w:r w:rsidRPr="004B0DA6">
        <w:rPr>
          <w:highlight w:val="yellow"/>
        </w:rPr>
        <w:t>Changes</w:t>
      </w:r>
      <w:r w:rsidRPr="004B0DA6">
        <w:rPr>
          <w:spacing w:val="-2"/>
          <w:highlight w:val="yellow"/>
        </w:rPr>
        <w:t xml:space="preserve"> </w:t>
      </w:r>
      <w:r w:rsidRPr="004B0DA6">
        <w:rPr>
          <w:highlight w:val="yellow"/>
        </w:rPr>
        <w:t>in</w:t>
      </w:r>
      <w:r w:rsidRPr="004B0DA6">
        <w:rPr>
          <w:spacing w:val="-1"/>
          <w:highlight w:val="yellow"/>
        </w:rPr>
        <w:t xml:space="preserve"> </w:t>
      </w:r>
      <w:r w:rsidRPr="004B0DA6">
        <w:rPr>
          <w:highlight w:val="yellow"/>
        </w:rPr>
        <w:t>the</w:t>
      </w:r>
      <w:r w:rsidRPr="004B0DA6">
        <w:rPr>
          <w:spacing w:val="-1"/>
          <w:highlight w:val="yellow"/>
        </w:rPr>
        <w:t xml:space="preserve"> </w:t>
      </w:r>
      <w:r w:rsidR="00837F79" w:rsidRPr="004B0DA6">
        <w:rPr>
          <w:spacing w:val="-1"/>
          <w:highlight w:val="yellow"/>
        </w:rPr>
        <w:t xml:space="preserve">Total </w:t>
      </w:r>
      <w:r w:rsidRPr="004B0DA6">
        <w:rPr>
          <w:highlight w:val="yellow"/>
        </w:rPr>
        <w:t>OPEB</w:t>
      </w:r>
      <w:r w:rsidRPr="004B0DA6">
        <w:rPr>
          <w:spacing w:val="-2"/>
          <w:highlight w:val="yellow"/>
        </w:rPr>
        <w:t xml:space="preserve"> </w:t>
      </w:r>
      <w:r w:rsidRPr="004B0DA6">
        <w:rPr>
          <w:highlight w:val="yellow"/>
        </w:rPr>
        <w:t>Liability</w:t>
      </w:r>
      <w:r w:rsidRPr="004B0DA6">
        <w:rPr>
          <w:spacing w:val="-3"/>
          <w:highlight w:val="yellow"/>
        </w:rPr>
        <w:t xml:space="preserve"> </w:t>
      </w:r>
      <w:r w:rsidRPr="004B0DA6">
        <w:rPr>
          <w:highlight w:val="yellow"/>
        </w:rPr>
        <w:t>and</w:t>
      </w:r>
      <w:r w:rsidRPr="004B0DA6">
        <w:rPr>
          <w:spacing w:val="-2"/>
          <w:highlight w:val="yellow"/>
        </w:rPr>
        <w:t xml:space="preserve"> </w:t>
      </w:r>
      <w:r w:rsidRPr="004B0DA6">
        <w:rPr>
          <w:highlight w:val="yellow"/>
        </w:rPr>
        <w:t>Related</w:t>
      </w:r>
      <w:r w:rsidRPr="004B0DA6">
        <w:rPr>
          <w:spacing w:val="-2"/>
          <w:highlight w:val="yellow"/>
        </w:rPr>
        <w:t xml:space="preserve"> Ratios</w:t>
      </w:r>
    </w:p>
    <w:p w14:paraId="5A12B923" w14:textId="77777777" w:rsidR="00103579" w:rsidRPr="004B0DA6" w:rsidRDefault="00103579" w:rsidP="00103579">
      <w:pPr>
        <w:pStyle w:val="BodyText"/>
        <w:spacing w:before="10"/>
        <w:rPr>
          <w:rFonts w:ascii="Times New Roman" w:hAnsi="Times New Roman" w:cs="Times New Roman"/>
          <w:sz w:val="23"/>
        </w:rPr>
      </w:pPr>
    </w:p>
    <w:p w14:paraId="04CE5213" w14:textId="7A2F44FE" w:rsidR="00E41595" w:rsidRPr="004B0DA6" w:rsidRDefault="00E41595" w:rsidP="0056179C">
      <w:pPr>
        <w:jc w:val="both"/>
        <w:rPr>
          <w:rFonts w:ascii="Times New Roman" w:hAnsi="Times New Roman" w:cs="Times New Roman"/>
          <w:sz w:val="24"/>
        </w:rPr>
      </w:pPr>
    </w:p>
    <w:sectPr w:rsidR="00E41595" w:rsidRPr="004B0DA6" w:rsidSect="004B1D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2C57" w14:textId="77777777" w:rsidR="00501A99" w:rsidRDefault="00501A99" w:rsidP="006900B2">
      <w:pPr>
        <w:spacing w:after="0" w:line="240" w:lineRule="auto"/>
      </w:pPr>
      <w:r>
        <w:separator/>
      </w:r>
    </w:p>
  </w:endnote>
  <w:endnote w:type="continuationSeparator" w:id="0">
    <w:p w14:paraId="44F1B24B" w14:textId="77777777" w:rsidR="00501A99" w:rsidRDefault="00501A99" w:rsidP="0069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CCFBC" w14:textId="77777777" w:rsidR="00501A99" w:rsidRDefault="00501A99" w:rsidP="006900B2">
      <w:pPr>
        <w:spacing w:after="0" w:line="240" w:lineRule="auto"/>
      </w:pPr>
      <w:r>
        <w:separator/>
      </w:r>
    </w:p>
  </w:footnote>
  <w:footnote w:type="continuationSeparator" w:id="0">
    <w:p w14:paraId="339D715C" w14:textId="77777777" w:rsidR="00501A99" w:rsidRDefault="00501A99" w:rsidP="00690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F263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54B1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2B4C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8A12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325E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BAA5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9617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109D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22E4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C2A8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D41B7"/>
    <w:multiLevelType w:val="hybridMultilevel"/>
    <w:tmpl w:val="A8BC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442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6E4D42"/>
    <w:multiLevelType w:val="multilevel"/>
    <w:tmpl w:val="5B96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27C6A"/>
    <w:multiLevelType w:val="hybridMultilevel"/>
    <w:tmpl w:val="ABBCFA6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D2A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E8E3B69"/>
    <w:multiLevelType w:val="hybridMultilevel"/>
    <w:tmpl w:val="D96A6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1B2CD2"/>
    <w:multiLevelType w:val="hybridMultilevel"/>
    <w:tmpl w:val="1F8CB7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583886"/>
    <w:multiLevelType w:val="hybridMultilevel"/>
    <w:tmpl w:val="4F222D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9B226A"/>
    <w:multiLevelType w:val="hybridMultilevel"/>
    <w:tmpl w:val="B32889B2"/>
    <w:lvl w:ilvl="0" w:tplc="EC80928C">
      <w:start w:val="3"/>
      <w:numFmt w:val="lowerLetter"/>
      <w:lvlText w:val="%1."/>
      <w:lvlJc w:val="left"/>
      <w:pPr>
        <w:ind w:left="1120" w:hanging="360"/>
      </w:pPr>
      <w:rPr>
        <w:rFonts w:hint="default"/>
        <w:u w:val="single"/>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 w15:restartNumberingAfterBreak="0">
    <w:nsid w:val="4DA33BD1"/>
    <w:multiLevelType w:val="hybridMultilevel"/>
    <w:tmpl w:val="F288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25CA4"/>
    <w:multiLevelType w:val="hybridMultilevel"/>
    <w:tmpl w:val="8D30E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5C275C"/>
    <w:multiLevelType w:val="hybridMultilevel"/>
    <w:tmpl w:val="4824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C3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A827ED4"/>
    <w:multiLevelType w:val="hybridMultilevel"/>
    <w:tmpl w:val="D28CD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2541BC"/>
    <w:multiLevelType w:val="hybridMultilevel"/>
    <w:tmpl w:val="10F01DEC"/>
    <w:lvl w:ilvl="0" w:tplc="37B0D62E">
      <w:numFmt w:val="bullet"/>
      <w:lvlText w:val=""/>
      <w:lvlJc w:val="left"/>
      <w:pPr>
        <w:ind w:left="1780" w:hanging="720"/>
      </w:pPr>
      <w:rPr>
        <w:rFonts w:ascii="Symbol" w:eastAsia="Symbol" w:hAnsi="Symbol" w:cs="Symbol" w:hint="default"/>
        <w:b w:val="0"/>
        <w:bCs w:val="0"/>
        <w:i w:val="0"/>
        <w:iCs w:val="0"/>
        <w:w w:val="100"/>
        <w:sz w:val="24"/>
        <w:szCs w:val="24"/>
        <w:lang w:val="en-US" w:eastAsia="en-US" w:bidi="ar-SA"/>
      </w:rPr>
    </w:lvl>
    <w:lvl w:ilvl="1" w:tplc="3D6EFAF6">
      <w:numFmt w:val="bullet"/>
      <w:lvlText w:val="•"/>
      <w:lvlJc w:val="left"/>
      <w:pPr>
        <w:ind w:left="2690" w:hanging="720"/>
      </w:pPr>
      <w:rPr>
        <w:rFonts w:hint="default"/>
        <w:lang w:val="en-US" w:eastAsia="en-US" w:bidi="ar-SA"/>
      </w:rPr>
    </w:lvl>
    <w:lvl w:ilvl="2" w:tplc="362A370A">
      <w:numFmt w:val="bullet"/>
      <w:lvlText w:val="•"/>
      <w:lvlJc w:val="left"/>
      <w:pPr>
        <w:ind w:left="3600" w:hanging="720"/>
      </w:pPr>
      <w:rPr>
        <w:rFonts w:hint="default"/>
        <w:lang w:val="en-US" w:eastAsia="en-US" w:bidi="ar-SA"/>
      </w:rPr>
    </w:lvl>
    <w:lvl w:ilvl="3" w:tplc="E28E0AC8">
      <w:numFmt w:val="bullet"/>
      <w:lvlText w:val="•"/>
      <w:lvlJc w:val="left"/>
      <w:pPr>
        <w:ind w:left="4510" w:hanging="720"/>
      </w:pPr>
      <w:rPr>
        <w:rFonts w:hint="default"/>
        <w:lang w:val="en-US" w:eastAsia="en-US" w:bidi="ar-SA"/>
      </w:rPr>
    </w:lvl>
    <w:lvl w:ilvl="4" w:tplc="F550B4DE">
      <w:numFmt w:val="bullet"/>
      <w:lvlText w:val="•"/>
      <w:lvlJc w:val="left"/>
      <w:pPr>
        <w:ind w:left="5420" w:hanging="720"/>
      </w:pPr>
      <w:rPr>
        <w:rFonts w:hint="default"/>
        <w:lang w:val="en-US" w:eastAsia="en-US" w:bidi="ar-SA"/>
      </w:rPr>
    </w:lvl>
    <w:lvl w:ilvl="5" w:tplc="548ACB4A">
      <w:numFmt w:val="bullet"/>
      <w:lvlText w:val="•"/>
      <w:lvlJc w:val="left"/>
      <w:pPr>
        <w:ind w:left="6330" w:hanging="720"/>
      </w:pPr>
      <w:rPr>
        <w:rFonts w:hint="default"/>
        <w:lang w:val="en-US" w:eastAsia="en-US" w:bidi="ar-SA"/>
      </w:rPr>
    </w:lvl>
    <w:lvl w:ilvl="6" w:tplc="5CC69CB8">
      <w:numFmt w:val="bullet"/>
      <w:lvlText w:val="•"/>
      <w:lvlJc w:val="left"/>
      <w:pPr>
        <w:ind w:left="7240" w:hanging="720"/>
      </w:pPr>
      <w:rPr>
        <w:rFonts w:hint="default"/>
        <w:lang w:val="en-US" w:eastAsia="en-US" w:bidi="ar-SA"/>
      </w:rPr>
    </w:lvl>
    <w:lvl w:ilvl="7" w:tplc="EDC6718C">
      <w:numFmt w:val="bullet"/>
      <w:lvlText w:val="•"/>
      <w:lvlJc w:val="left"/>
      <w:pPr>
        <w:ind w:left="8150" w:hanging="720"/>
      </w:pPr>
      <w:rPr>
        <w:rFonts w:hint="default"/>
        <w:lang w:val="en-US" w:eastAsia="en-US" w:bidi="ar-SA"/>
      </w:rPr>
    </w:lvl>
    <w:lvl w:ilvl="8" w:tplc="73E8F53A">
      <w:numFmt w:val="bullet"/>
      <w:lvlText w:val="•"/>
      <w:lvlJc w:val="left"/>
      <w:pPr>
        <w:ind w:left="9060" w:hanging="720"/>
      </w:pPr>
      <w:rPr>
        <w:rFonts w:hint="default"/>
        <w:lang w:val="en-US" w:eastAsia="en-US" w:bidi="ar-SA"/>
      </w:rPr>
    </w:lvl>
  </w:abstractNum>
  <w:abstractNum w:abstractNumId="25" w15:restartNumberingAfterBreak="0">
    <w:nsid w:val="62CA1A77"/>
    <w:multiLevelType w:val="hybridMultilevel"/>
    <w:tmpl w:val="05D06A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67307E8"/>
    <w:multiLevelType w:val="hybridMultilevel"/>
    <w:tmpl w:val="067C0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0C4C71"/>
    <w:multiLevelType w:val="hybridMultilevel"/>
    <w:tmpl w:val="AF560BA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6E5E59EC"/>
    <w:multiLevelType w:val="hybridMultilevel"/>
    <w:tmpl w:val="D9B0E65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2E74F9"/>
    <w:multiLevelType w:val="hybridMultilevel"/>
    <w:tmpl w:val="646615D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67945"/>
    <w:multiLevelType w:val="hybridMultilevel"/>
    <w:tmpl w:val="1B284F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F0E21F8"/>
    <w:multiLevelType w:val="hybridMultilevel"/>
    <w:tmpl w:val="9F12E4B0"/>
    <w:lvl w:ilvl="0" w:tplc="BFC47266">
      <w:start w:val="1"/>
      <w:numFmt w:val="upperRoman"/>
      <w:lvlText w:val="%1."/>
      <w:lvlJc w:val="left"/>
      <w:pPr>
        <w:ind w:left="1059" w:hanging="720"/>
      </w:pPr>
      <w:rPr>
        <w:rFonts w:ascii="Century Schoolbook" w:eastAsia="Century Schoolbook" w:hAnsi="Century Schoolbook" w:cs="Century Schoolbook" w:hint="default"/>
        <w:b/>
        <w:bCs/>
        <w:i w:val="0"/>
        <w:iCs w:val="0"/>
        <w:w w:val="100"/>
        <w:sz w:val="22"/>
        <w:szCs w:val="22"/>
        <w:lang w:val="en-US" w:eastAsia="en-US" w:bidi="ar-SA"/>
      </w:rPr>
    </w:lvl>
    <w:lvl w:ilvl="1" w:tplc="243A08EC">
      <w:start w:val="1"/>
      <w:numFmt w:val="upperLetter"/>
      <w:lvlText w:val="%2."/>
      <w:lvlJc w:val="left"/>
      <w:pPr>
        <w:ind w:left="1052" w:hanging="293"/>
      </w:pPr>
      <w:rPr>
        <w:w w:val="100"/>
        <w:lang w:val="en-US" w:eastAsia="en-US" w:bidi="ar-SA"/>
      </w:rPr>
    </w:lvl>
    <w:lvl w:ilvl="2" w:tplc="9CAA8B9E">
      <w:start w:val="1"/>
      <w:numFmt w:val="decimal"/>
      <w:lvlText w:val="%3."/>
      <w:lvlJc w:val="left"/>
      <w:pPr>
        <w:ind w:left="1074" w:hanging="315"/>
      </w:pPr>
      <w:rPr>
        <w:w w:val="100"/>
        <w:lang w:val="en-US" w:eastAsia="en-US" w:bidi="ar-SA"/>
      </w:rPr>
    </w:lvl>
    <w:lvl w:ilvl="3" w:tplc="B19AE970">
      <w:numFmt w:val="bullet"/>
      <w:lvlText w:val=""/>
      <w:lvlJc w:val="left"/>
      <w:pPr>
        <w:ind w:left="1059" w:hanging="315"/>
      </w:pPr>
      <w:rPr>
        <w:rFonts w:ascii="Symbol" w:eastAsia="Symbol" w:hAnsi="Symbol" w:cs="Symbol" w:hint="default"/>
        <w:w w:val="100"/>
        <w:lang w:val="en-US" w:eastAsia="en-US" w:bidi="ar-SA"/>
      </w:rPr>
    </w:lvl>
    <w:lvl w:ilvl="4" w:tplc="EB444504">
      <w:numFmt w:val="bullet"/>
      <w:lvlText w:val="•"/>
      <w:lvlJc w:val="left"/>
      <w:pPr>
        <w:ind w:left="1080" w:hanging="315"/>
      </w:pPr>
      <w:rPr>
        <w:lang w:val="en-US" w:eastAsia="en-US" w:bidi="ar-SA"/>
      </w:rPr>
    </w:lvl>
    <w:lvl w:ilvl="5" w:tplc="401CD4E8">
      <w:numFmt w:val="bullet"/>
      <w:lvlText w:val="•"/>
      <w:lvlJc w:val="left"/>
      <w:pPr>
        <w:ind w:left="1280" w:hanging="315"/>
      </w:pPr>
      <w:rPr>
        <w:lang w:val="en-US" w:eastAsia="en-US" w:bidi="ar-SA"/>
      </w:rPr>
    </w:lvl>
    <w:lvl w:ilvl="6" w:tplc="4808DB66">
      <w:numFmt w:val="bullet"/>
      <w:lvlText w:val="•"/>
      <w:lvlJc w:val="left"/>
      <w:pPr>
        <w:ind w:left="3200" w:hanging="315"/>
      </w:pPr>
      <w:rPr>
        <w:lang w:val="en-US" w:eastAsia="en-US" w:bidi="ar-SA"/>
      </w:rPr>
    </w:lvl>
    <w:lvl w:ilvl="7" w:tplc="92FC55EA">
      <w:numFmt w:val="bullet"/>
      <w:lvlText w:val="•"/>
      <w:lvlJc w:val="left"/>
      <w:pPr>
        <w:ind w:left="5120" w:hanging="315"/>
      </w:pPr>
      <w:rPr>
        <w:lang w:val="en-US" w:eastAsia="en-US" w:bidi="ar-SA"/>
      </w:rPr>
    </w:lvl>
    <w:lvl w:ilvl="8" w:tplc="6C64D5B0">
      <w:numFmt w:val="bullet"/>
      <w:lvlText w:val="•"/>
      <w:lvlJc w:val="left"/>
      <w:pPr>
        <w:ind w:left="7040" w:hanging="315"/>
      </w:pPr>
      <w:rPr>
        <w:lang w:val="en-US" w:eastAsia="en-US" w:bidi="ar-SA"/>
      </w:rPr>
    </w:lvl>
  </w:abstractNum>
  <w:num w:numId="1" w16cid:durableId="1504280290">
    <w:abstractNumId w:val="26"/>
  </w:num>
  <w:num w:numId="2" w16cid:durableId="65232014">
    <w:abstractNumId w:val="23"/>
  </w:num>
  <w:num w:numId="3" w16cid:durableId="498927047">
    <w:abstractNumId w:val="15"/>
  </w:num>
  <w:num w:numId="4" w16cid:durableId="994800413">
    <w:abstractNumId w:val="30"/>
  </w:num>
  <w:num w:numId="5" w16cid:durableId="1824463244">
    <w:abstractNumId w:val="25"/>
  </w:num>
  <w:num w:numId="6" w16cid:durableId="804129953">
    <w:abstractNumId w:val="20"/>
  </w:num>
  <w:num w:numId="7" w16cid:durableId="1428847412">
    <w:abstractNumId w:val="27"/>
  </w:num>
  <w:num w:numId="8" w16cid:durableId="519200083">
    <w:abstractNumId w:val="10"/>
  </w:num>
  <w:num w:numId="9" w16cid:durableId="1434787846">
    <w:abstractNumId w:val="14"/>
  </w:num>
  <w:num w:numId="10" w16cid:durableId="1264920284">
    <w:abstractNumId w:val="22"/>
  </w:num>
  <w:num w:numId="11" w16cid:durableId="1095249346">
    <w:abstractNumId w:val="11"/>
  </w:num>
  <w:num w:numId="12" w16cid:durableId="1755009923">
    <w:abstractNumId w:val="0"/>
  </w:num>
  <w:num w:numId="13" w16cid:durableId="1095907180">
    <w:abstractNumId w:val="1"/>
  </w:num>
  <w:num w:numId="14" w16cid:durableId="265623823">
    <w:abstractNumId w:val="2"/>
  </w:num>
  <w:num w:numId="15" w16cid:durableId="111874060">
    <w:abstractNumId w:val="3"/>
  </w:num>
  <w:num w:numId="16" w16cid:durableId="1740862989">
    <w:abstractNumId w:val="8"/>
  </w:num>
  <w:num w:numId="17" w16cid:durableId="372072867">
    <w:abstractNumId w:val="4"/>
  </w:num>
  <w:num w:numId="18" w16cid:durableId="147602130">
    <w:abstractNumId w:val="5"/>
  </w:num>
  <w:num w:numId="19" w16cid:durableId="1069504218">
    <w:abstractNumId w:val="6"/>
  </w:num>
  <w:num w:numId="20" w16cid:durableId="1780222954">
    <w:abstractNumId w:val="7"/>
  </w:num>
  <w:num w:numId="21" w16cid:durableId="1392575001">
    <w:abstractNumId w:val="9"/>
  </w:num>
  <w:num w:numId="22" w16cid:durableId="354691125">
    <w:abstractNumId w:val="19"/>
  </w:num>
  <w:num w:numId="23" w16cid:durableId="1491822091">
    <w:abstractNumId w:val="17"/>
  </w:num>
  <w:num w:numId="24" w16cid:durableId="52656592">
    <w:abstractNumId w:val="17"/>
  </w:num>
  <w:num w:numId="25" w16cid:durableId="1628513824">
    <w:abstractNumId w:val="21"/>
  </w:num>
  <w:num w:numId="26" w16cid:durableId="1784495166">
    <w:abstractNumId w:val="13"/>
  </w:num>
  <w:num w:numId="27" w16cid:durableId="2114783398">
    <w:abstractNumId w:val="12"/>
  </w:num>
  <w:num w:numId="28" w16cid:durableId="1914967458">
    <w:abstractNumId w:val="16"/>
  </w:num>
  <w:num w:numId="29" w16cid:durableId="8878133">
    <w:abstractNumId w:val="28"/>
  </w:num>
  <w:num w:numId="30" w16cid:durableId="1530416549">
    <w:abstractNumId w:val="18"/>
  </w:num>
  <w:num w:numId="31" w16cid:durableId="932738094">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16cid:durableId="99032170">
    <w:abstractNumId w:val="29"/>
  </w:num>
  <w:num w:numId="33" w16cid:durableId="7135092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194"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9E"/>
    <w:rsid w:val="000005C8"/>
    <w:rsid w:val="000011EA"/>
    <w:rsid w:val="0000185F"/>
    <w:rsid w:val="00003789"/>
    <w:rsid w:val="00006853"/>
    <w:rsid w:val="00011994"/>
    <w:rsid w:val="00013CC7"/>
    <w:rsid w:val="00017095"/>
    <w:rsid w:val="00021C19"/>
    <w:rsid w:val="000224D6"/>
    <w:rsid w:val="00024EC3"/>
    <w:rsid w:val="00026AFF"/>
    <w:rsid w:val="000301C9"/>
    <w:rsid w:val="00035720"/>
    <w:rsid w:val="00037C95"/>
    <w:rsid w:val="00040608"/>
    <w:rsid w:val="00044697"/>
    <w:rsid w:val="0004624E"/>
    <w:rsid w:val="00046BEA"/>
    <w:rsid w:val="00047333"/>
    <w:rsid w:val="00047400"/>
    <w:rsid w:val="00050DC9"/>
    <w:rsid w:val="00051060"/>
    <w:rsid w:val="00051B50"/>
    <w:rsid w:val="00061EA6"/>
    <w:rsid w:val="0006793F"/>
    <w:rsid w:val="00074557"/>
    <w:rsid w:val="0007595D"/>
    <w:rsid w:val="00076418"/>
    <w:rsid w:val="000838A4"/>
    <w:rsid w:val="00083E17"/>
    <w:rsid w:val="00084A33"/>
    <w:rsid w:val="000869C2"/>
    <w:rsid w:val="000874F7"/>
    <w:rsid w:val="00090577"/>
    <w:rsid w:val="00091BE9"/>
    <w:rsid w:val="00094557"/>
    <w:rsid w:val="000954D4"/>
    <w:rsid w:val="000A0FC9"/>
    <w:rsid w:val="000A1843"/>
    <w:rsid w:val="000A23D5"/>
    <w:rsid w:val="000A4BA1"/>
    <w:rsid w:val="000A5EB3"/>
    <w:rsid w:val="000B7482"/>
    <w:rsid w:val="000C242A"/>
    <w:rsid w:val="000C5B42"/>
    <w:rsid w:val="000C67CE"/>
    <w:rsid w:val="000D0C5D"/>
    <w:rsid w:val="000D37C6"/>
    <w:rsid w:val="000D6F6C"/>
    <w:rsid w:val="000E1708"/>
    <w:rsid w:val="000E665A"/>
    <w:rsid w:val="000F31B4"/>
    <w:rsid w:val="000F3B10"/>
    <w:rsid w:val="000F58E1"/>
    <w:rsid w:val="00100F98"/>
    <w:rsid w:val="00103579"/>
    <w:rsid w:val="00105C3D"/>
    <w:rsid w:val="001100A2"/>
    <w:rsid w:val="00110375"/>
    <w:rsid w:val="00116E04"/>
    <w:rsid w:val="00117C78"/>
    <w:rsid w:val="001202AB"/>
    <w:rsid w:val="0012373D"/>
    <w:rsid w:val="001255B2"/>
    <w:rsid w:val="00126082"/>
    <w:rsid w:val="00126653"/>
    <w:rsid w:val="001329C6"/>
    <w:rsid w:val="0013597A"/>
    <w:rsid w:val="0013633E"/>
    <w:rsid w:val="00140307"/>
    <w:rsid w:val="00144B71"/>
    <w:rsid w:val="001461A2"/>
    <w:rsid w:val="00153EF2"/>
    <w:rsid w:val="001577D0"/>
    <w:rsid w:val="00164D0B"/>
    <w:rsid w:val="00167193"/>
    <w:rsid w:val="00175E68"/>
    <w:rsid w:val="00176A99"/>
    <w:rsid w:val="00181728"/>
    <w:rsid w:val="00182A8D"/>
    <w:rsid w:val="00183070"/>
    <w:rsid w:val="00183B40"/>
    <w:rsid w:val="00185951"/>
    <w:rsid w:val="001874C9"/>
    <w:rsid w:val="00187CE6"/>
    <w:rsid w:val="00191104"/>
    <w:rsid w:val="00191F9D"/>
    <w:rsid w:val="0019295A"/>
    <w:rsid w:val="00192DA7"/>
    <w:rsid w:val="00193457"/>
    <w:rsid w:val="00195570"/>
    <w:rsid w:val="00196F95"/>
    <w:rsid w:val="001A4C12"/>
    <w:rsid w:val="001A52B8"/>
    <w:rsid w:val="001A654D"/>
    <w:rsid w:val="001A73A2"/>
    <w:rsid w:val="001B4F9C"/>
    <w:rsid w:val="001C0690"/>
    <w:rsid w:val="001C3336"/>
    <w:rsid w:val="001C42C9"/>
    <w:rsid w:val="001C45F9"/>
    <w:rsid w:val="001D21E6"/>
    <w:rsid w:val="001E170F"/>
    <w:rsid w:val="001E243C"/>
    <w:rsid w:val="001E2989"/>
    <w:rsid w:val="001F4A70"/>
    <w:rsid w:val="001F4EC6"/>
    <w:rsid w:val="002028A7"/>
    <w:rsid w:val="00203597"/>
    <w:rsid w:val="00203835"/>
    <w:rsid w:val="00203CB9"/>
    <w:rsid w:val="0020405A"/>
    <w:rsid w:val="00204A10"/>
    <w:rsid w:val="00213452"/>
    <w:rsid w:val="0022180B"/>
    <w:rsid w:val="0022366D"/>
    <w:rsid w:val="002303F1"/>
    <w:rsid w:val="00234F1C"/>
    <w:rsid w:val="0023586B"/>
    <w:rsid w:val="00241433"/>
    <w:rsid w:val="00242880"/>
    <w:rsid w:val="00246BD5"/>
    <w:rsid w:val="00250F86"/>
    <w:rsid w:val="00251AAA"/>
    <w:rsid w:val="00251D9A"/>
    <w:rsid w:val="00261EF8"/>
    <w:rsid w:val="00261FE5"/>
    <w:rsid w:val="00264B84"/>
    <w:rsid w:val="00270745"/>
    <w:rsid w:val="002739C4"/>
    <w:rsid w:val="00280B4B"/>
    <w:rsid w:val="00282A62"/>
    <w:rsid w:val="00290709"/>
    <w:rsid w:val="0029338B"/>
    <w:rsid w:val="002B0290"/>
    <w:rsid w:val="002B0370"/>
    <w:rsid w:val="002B5113"/>
    <w:rsid w:val="002B7CEA"/>
    <w:rsid w:val="002C35B5"/>
    <w:rsid w:val="002C74A4"/>
    <w:rsid w:val="002D1819"/>
    <w:rsid w:val="002D2E0E"/>
    <w:rsid w:val="002D42B6"/>
    <w:rsid w:val="002D5BE7"/>
    <w:rsid w:val="002E21A5"/>
    <w:rsid w:val="002E5579"/>
    <w:rsid w:val="002E725B"/>
    <w:rsid w:val="002E7350"/>
    <w:rsid w:val="002F115E"/>
    <w:rsid w:val="002F4439"/>
    <w:rsid w:val="002F4472"/>
    <w:rsid w:val="002F641C"/>
    <w:rsid w:val="002F6668"/>
    <w:rsid w:val="00302D01"/>
    <w:rsid w:val="00303FCD"/>
    <w:rsid w:val="003116D0"/>
    <w:rsid w:val="00313B10"/>
    <w:rsid w:val="00315600"/>
    <w:rsid w:val="00316A15"/>
    <w:rsid w:val="0031793D"/>
    <w:rsid w:val="0032665C"/>
    <w:rsid w:val="00334274"/>
    <w:rsid w:val="003355A8"/>
    <w:rsid w:val="003371BC"/>
    <w:rsid w:val="00337CC4"/>
    <w:rsid w:val="003411A5"/>
    <w:rsid w:val="00343664"/>
    <w:rsid w:val="00347A03"/>
    <w:rsid w:val="003516C4"/>
    <w:rsid w:val="0035414A"/>
    <w:rsid w:val="003577DF"/>
    <w:rsid w:val="00360BA5"/>
    <w:rsid w:val="003626E3"/>
    <w:rsid w:val="003650E5"/>
    <w:rsid w:val="00371C65"/>
    <w:rsid w:val="0037269F"/>
    <w:rsid w:val="00382B90"/>
    <w:rsid w:val="003848FF"/>
    <w:rsid w:val="00390D96"/>
    <w:rsid w:val="0039186E"/>
    <w:rsid w:val="0039321D"/>
    <w:rsid w:val="003959B9"/>
    <w:rsid w:val="00396471"/>
    <w:rsid w:val="003A1FEA"/>
    <w:rsid w:val="003A424A"/>
    <w:rsid w:val="003A43DF"/>
    <w:rsid w:val="003A7466"/>
    <w:rsid w:val="003B108D"/>
    <w:rsid w:val="003B1769"/>
    <w:rsid w:val="003B3B14"/>
    <w:rsid w:val="003C113D"/>
    <w:rsid w:val="003D457A"/>
    <w:rsid w:val="003D4A9E"/>
    <w:rsid w:val="003D703D"/>
    <w:rsid w:val="003D7A88"/>
    <w:rsid w:val="003E7A86"/>
    <w:rsid w:val="003E7FCD"/>
    <w:rsid w:val="003F3002"/>
    <w:rsid w:val="003F5165"/>
    <w:rsid w:val="003F5D8A"/>
    <w:rsid w:val="003F68B9"/>
    <w:rsid w:val="00401153"/>
    <w:rsid w:val="00406D3D"/>
    <w:rsid w:val="0040703B"/>
    <w:rsid w:val="00420FD7"/>
    <w:rsid w:val="0042444D"/>
    <w:rsid w:val="00433CFA"/>
    <w:rsid w:val="004375E1"/>
    <w:rsid w:val="00437A2F"/>
    <w:rsid w:val="004419FA"/>
    <w:rsid w:val="004462DF"/>
    <w:rsid w:val="00446E1B"/>
    <w:rsid w:val="00447731"/>
    <w:rsid w:val="004524AB"/>
    <w:rsid w:val="00453A49"/>
    <w:rsid w:val="00454352"/>
    <w:rsid w:val="004675F0"/>
    <w:rsid w:val="00470996"/>
    <w:rsid w:val="0047475E"/>
    <w:rsid w:val="00474FA2"/>
    <w:rsid w:val="00481877"/>
    <w:rsid w:val="0048504F"/>
    <w:rsid w:val="00485273"/>
    <w:rsid w:val="0048609C"/>
    <w:rsid w:val="0048619A"/>
    <w:rsid w:val="00493A6E"/>
    <w:rsid w:val="00495C9E"/>
    <w:rsid w:val="00497E62"/>
    <w:rsid w:val="004A5CB8"/>
    <w:rsid w:val="004A5E73"/>
    <w:rsid w:val="004A768D"/>
    <w:rsid w:val="004B0DA6"/>
    <w:rsid w:val="004B1DD0"/>
    <w:rsid w:val="004B2B33"/>
    <w:rsid w:val="004B4C67"/>
    <w:rsid w:val="004B5194"/>
    <w:rsid w:val="004C4DCA"/>
    <w:rsid w:val="004C793C"/>
    <w:rsid w:val="004D516E"/>
    <w:rsid w:val="004E7069"/>
    <w:rsid w:val="004F28A0"/>
    <w:rsid w:val="004F6F22"/>
    <w:rsid w:val="004F7A7D"/>
    <w:rsid w:val="005003A8"/>
    <w:rsid w:val="00501603"/>
    <w:rsid w:val="00501A99"/>
    <w:rsid w:val="00504182"/>
    <w:rsid w:val="0050441A"/>
    <w:rsid w:val="005064B8"/>
    <w:rsid w:val="00520F43"/>
    <w:rsid w:val="00524E19"/>
    <w:rsid w:val="00526DA2"/>
    <w:rsid w:val="00530D3B"/>
    <w:rsid w:val="00537DD4"/>
    <w:rsid w:val="00543640"/>
    <w:rsid w:val="0055003E"/>
    <w:rsid w:val="0055181B"/>
    <w:rsid w:val="005541E0"/>
    <w:rsid w:val="00554832"/>
    <w:rsid w:val="0056179C"/>
    <w:rsid w:val="00565FDD"/>
    <w:rsid w:val="00570554"/>
    <w:rsid w:val="0057419E"/>
    <w:rsid w:val="005764AB"/>
    <w:rsid w:val="005779AC"/>
    <w:rsid w:val="00577D5E"/>
    <w:rsid w:val="00584A44"/>
    <w:rsid w:val="005930B2"/>
    <w:rsid w:val="005A1113"/>
    <w:rsid w:val="005A534F"/>
    <w:rsid w:val="005B1639"/>
    <w:rsid w:val="005B3C2B"/>
    <w:rsid w:val="005B7174"/>
    <w:rsid w:val="005D2B5A"/>
    <w:rsid w:val="005D3D6B"/>
    <w:rsid w:val="005D43C6"/>
    <w:rsid w:val="005D4D01"/>
    <w:rsid w:val="005E0E78"/>
    <w:rsid w:val="005E1A02"/>
    <w:rsid w:val="005E5315"/>
    <w:rsid w:val="005E6183"/>
    <w:rsid w:val="005E7992"/>
    <w:rsid w:val="005F0BB5"/>
    <w:rsid w:val="005F214E"/>
    <w:rsid w:val="006011BC"/>
    <w:rsid w:val="00601C32"/>
    <w:rsid w:val="006063DE"/>
    <w:rsid w:val="00606971"/>
    <w:rsid w:val="0060752A"/>
    <w:rsid w:val="00607B73"/>
    <w:rsid w:val="00612B19"/>
    <w:rsid w:val="00613C53"/>
    <w:rsid w:val="00615D71"/>
    <w:rsid w:val="0062064C"/>
    <w:rsid w:val="006209BE"/>
    <w:rsid w:val="006309CC"/>
    <w:rsid w:val="00632219"/>
    <w:rsid w:val="00632F61"/>
    <w:rsid w:val="00633EBD"/>
    <w:rsid w:val="00637E1F"/>
    <w:rsid w:val="00651EA8"/>
    <w:rsid w:val="0065367F"/>
    <w:rsid w:val="00653973"/>
    <w:rsid w:val="006631CE"/>
    <w:rsid w:val="0066703D"/>
    <w:rsid w:val="006702C9"/>
    <w:rsid w:val="0067140A"/>
    <w:rsid w:val="00676335"/>
    <w:rsid w:val="00677F89"/>
    <w:rsid w:val="006801F8"/>
    <w:rsid w:val="006814BE"/>
    <w:rsid w:val="00681DE5"/>
    <w:rsid w:val="00686B8E"/>
    <w:rsid w:val="006900B2"/>
    <w:rsid w:val="006A27A4"/>
    <w:rsid w:val="006A2B71"/>
    <w:rsid w:val="006C12D9"/>
    <w:rsid w:val="006D2E11"/>
    <w:rsid w:val="006E185E"/>
    <w:rsid w:val="006E25D7"/>
    <w:rsid w:val="006E2F2F"/>
    <w:rsid w:val="006E511D"/>
    <w:rsid w:val="006E7FA4"/>
    <w:rsid w:val="006F18E5"/>
    <w:rsid w:val="006F213E"/>
    <w:rsid w:val="006F3DC8"/>
    <w:rsid w:val="006F49E1"/>
    <w:rsid w:val="006F7843"/>
    <w:rsid w:val="007060BC"/>
    <w:rsid w:val="007112F8"/>
    <w:rsid w:val="00712401"/>
    <w:rsid w:val="00712F27"/>
    <w:rsid w:val="00713F3D"/>
    <w:rsid w:val="00716070"/>
    <w:rsid w:val="00731E76"/>
    <w:rsid w:val="00732DFB"/>
    <w:rsid w:val="00736FC8"/>
    <w:rsid w:val="00742FA0"/>
    <w:rsid w:val="00747289"/>
    <w:rsid w:val="00747F56"/>
    <w:rsid w:val="007543D6"/>
    <w:rsid w:val="007545C1"/>
    <w:rsid w:val="0075558C"/>
    <w:rsid w:val="00756E31"/>
    <w:rsid w:val="00757EB9"/>
    <w:rsid w:val="0076274E"/>
    <w:rsid w:val="007667D6"/>
    <w:rsid w:val="0077274D"/>
    <w:rsid w:val="00774BCE"/>
    <w:rsid w:val="00774E61"/>
    <w:rsid w:val="00776055"/>
    <w:rsid w:val="00777129"/>
    <w:rsid w:val="00782448"/>
    <w:rsid w:val="0078323A"/>
    <w:rsid w:val="0078372D"/>
    <w:rsid w:val="007857B4"/>
    <w:rsid w:val="0079599D"/>
    <w:rsid w:val="007974C7"/>
    <w:rsid w:val="007A1A19"/>
    <w:rsid w:val="007A4AD5"/>
    <w:rsid w:val="007A6A34"/>
    <w:rsid w:val="007A7239"/>
    <w:rsid w:val="007B0DDF"/>
    <w:rsid w:val="007B1671"/>
    <w:rsid w:val="007B46D2"/>
    <w:rsid w:val="007B7C90"/>
    <w:rsid w:val="007C1766"/>
    <w:rsid w:val="007C267D"/>
    <w:rsid w:val="007C27F5"/>
    <w:rsid w:val="007C6BB9"/>
    <w:rsid w:val="007D03E4"/>
    <w:rsid w:val="007D45D8"/>
    <w:rsid w:val="007D4740"/>
    <w:rsid w:val="007D5AF8"/>
    <w:rsid w:val="007D669F"/>
    <w:rsid w:val="007D6CD0"/>
    <w:rsid w:val="007D730C"/>
    <w:rsid w:val="007E0FED"/>
    <w:rsid w:val="007E63B0"/>
    <w:rsid w:val="007E74D5"/>
    <w:rsid w:val="007F2A25"/>
    <w:rsid w:val="00801EB2"/>
    <w:rsid w:val="00804ACC"/>
    <w:rsid w:val="00810FEC"/>
    <w:rsid w:val="00812E20"/>
    <w:rsid w:val="0081415C"/>
    <w:rsid w:val="00817BB5"/>
    <w:rsid w:val="00817D0A"/>
    <w:rsid w:val="008210A6"/>
    <w:rsid w:val="0082185D"/>
    <w:rsid w:val="008238D1"/>
    <w:rsid w:val="00824AF9"/>
    <w:rsid w:val="00826F0E"/>
    <w:rsid w:val="008315CC"/>
    <w:rsid w:val="00833D80"/>
    <w:rsid w:val="0083647A"/>
    <w:rsid w:val="00837F79"/>
    <w:rsid w:val="00841565"/>
    <w:rsid w:val="00845C93"/>
    <w:rsid w:val="00845CD3"/>
    <w:rsid w:val="00845E0F"/>
    <w:rsid w:val="0084682A"/>
    <w:rsid w:val="00847270"/>
    <w:rsid w:val="008504B7"/>
    <w:rsid w:val="00852287"/>
    <w:rsid w:val="00853DFF"/>
    <w:rsid w:val="00862754"/>
    <w:rsid w:val="00864AC6"/>
    <w:rsid w:val="00866061"/>
    <w:rsid w:val="00867F62"/>
    <w:rsid w:val="0087079A"/>
    <w:rsid w:val="00871C78"/>
    <w:rsid w:val="00874644"/>
    <w:rsid w:val="008851C0"/>
    <w:rsid w:val="00887279"/>
    <w:rsid w:val="008919A4"/>
    <w:rsid w:val="0089383A"/>
    <w:rsid w:val="00893E1E"/>
    <w:rsid w:val="008A0E24"/>
    <w:rsid w:val="008A1662"/>
    <w:rsid w:val="008B22D7"/>
    <w:rsid w:val="008B329C"/>
    <w:rsid w:val="008B38F3"/>
    <w:rsid w:val="008B7060"/>
    <w:rsid w:val="008C2772"/>
    <w:rsid w:val="008C2E32"/>
    <w:rsid w:val="008C370B"/>
    <w:rsid w:val="008D0322"/>
    <w:rsid w:val="008E2CA2"/>
    <w:rsid w:val="008E5930"/>
    <w:rsid w:val="008E6AE3"/>
    <w:rsid w:val="008F69F8"/>
    <w:rsid w:val="00900CB6"/>
    <w:rsid w:val="00901DF4"/>
    <w:rsid w:val="00901F39"/>
    <w:rsid w:val="009053AD"/>
    <w:rsid w:val="00906C26"/>
    <w:rsid w:val="00907F65"/>
    <w:rsid w:val="00910828"/>
    <w:rsid w:val="00910EB5"/>
    <w:rsid w:val="0091168B"/>
    <w:rsid w:val="00912D7E"/>
    <w:rsid w:val="00914520"/>
    <w:rsid w:val="00924152"/>
    <w:rsid w:val="009277BE"/>
    <w:rsid w:val="0093117D"/>
    <w:rsid w:val="009322B9"/>
    <w:rsid w:val="00944170"/>
    <w:rsid w:val="00950226"/>
    <w:rsid w:val="009523BC"/>
    <w:rsid w:val="00952CB7"/>
    <w:rsid w:val="00953989"/>
    <w:rsid w:val="00955E9E"/>
    <w:rsid w:val="00964882"/>
    <w:rsid w:val="009674A6"/>
    <w:rsid w:val="0097330F"/>
    <w:rsid w:val="00980973"/>
    <w:rsid w:val="00984ACF"/>
    <w:rsid w:val="00993267"/>
    <w:rsid w:val="00993C81"/>
    <w:rsid w:val="00994CD0"/>
    <w:rsid w:val="00995619"/>
    <w:rsid w:val="00997C1E"/>
    <w:rsid w:val="00997C94"/>
    <w:rsid w:val="009A55AE"/>
    <w:rsid w:val="009A7893"/>
    <w:rsid w:val="009B11A2"/>
    <w:rsid w:val="009B125D"/>
    <w:rsid w:val="009B26F0"/>
    <w:rsid w:val="009B3CC3"/>
    <w:rsid w:val="009C082E"/>
    <w:rsid w:val="009C5370"/>
    <w:rsid w:val="009D3A38"/>
    <w:rsid w:val="009D44D2"/>
    <w:rsid w:val="009D4F61"/>
    <w:rsid w:val="009E048B"/>
    <w:rsid w:val="009E176B"/>
    <w:rsid w:val="009E7B28"/>
    <w:rsid w:val="009E7C4D"/>
    <w:rsid w:val="009F32C5"/>
    <w:rsid w:val="009F58B2"/>
    <w:rsid w:val="00A03B80"/>
    <w:rsid w:val="00A043AB"/>
    <w:rsid w:val="00A0635F"/>
    <w:rsid w:val="00A22CC3"/>
    <w:rsid w:val="00A24E6D"/>
    <w:rsid w:val="00A37FC5"/>
    <w:rsid w:val="00A40D39"/>
    <w:rsid w:val="00A40E7D"/>
    <w:rsid w:val="00A41729"/>
    <w:rsid w:val="00A4268D"/>
    <w:rsid w:val="00A55641"/>
    <w:rsid w:val="00A60A55"/>
    <w:rsid w:val="00A658FA"/>
    <w:rsid w:val="00A71878"/>
    <w:rsid w:val="00A72A8A"/>
    <w:rsid w:val="00A754C7"/>
    <w:rsid w:val="00A77859"/>
    <w:rsid w:val="00A838B8"/>
    <w:rsid w:val="00A8494A"/>
    <w:rsid w:val="00A85B23"/>
    <w:rsid w:val="00A865F5"/>
    <w:rsid w:val="00A90066"/>
    <w:rsid w:val="00A90DC9"/>
    <w:rsid w:val="00A93BA9"/>
    <w:rsid w:val="00A95633"/>
    <w:rsid w:val="00AA2C31"/>
    <w:rsid w:val="00AA4293"/>
    <w:rsid w:val="00AB11A3"/>
    <w:rsid w:val="00AB6A39"/>
    <w:rsid w:val="00AB6C21"/>
    <w:rsid w:val="00AB7B20"/>
    <w:rsid w:val="00AC12C0"/>
    <w:rsid w:val="00AC539F"/>
    <w:rsid w:val="00AC5F0F"/>
    <w:rsid w:val="00AC7C61"/>
    <w:rsid w:val="00AD19D0"/>
    <w:rsid w:val="00AD23FB"/>
    <w:rsid w:val="00AD59BE"/>
    <w:rsid w:val="00AD60FB"/>
    <w:rsid w:val="00AE13BE"/>
    <w:rsid w:val="00AE1480"/>
    <w:rsid w:val="00AE232C"/>
    <w:rsid w:val="00AE26FF"/>
    <w:rsid w:val="00AE2FB9"/>
    <w:rsid w:val="00AE68BF"/>
    <w:rsid w:val="00AF3664"/>
    <w:rsid w:val="00AF373B"/>
    <w:rsid w:val="00AF50E9"/>
    <w:rsid w:val="00AF6548"/>
    <w:rsid w:val="00AF79D9"/>
    <w:rsid w:val="00B073B3"/>
    <w:rsid w:val="00B07C48"/>
    <w:rsid w:val="00B136CA"/>
    <w:rsid w:val="00B13C41"/>
    <w:rsid w:val="00B14B19"/>
    <w:rsid w:val="00B15230"/>
    <w:rsid w:val="00B15FF5"/>
    <w:rsid w:val="00B211E3"/>
    <w:rsid w:val="00B212CF"/>
    <w:rsid w:val="00B2703A"/>
    <w:rsid w:val="00B31157"/>
    <w:rsid w:val="00B3176D"/>
    <w:rsid w:val="00B330DC"/>
    <w:rsid w:val="00B3329D"/>
    <w:rsid w:val="00B358CE"/>
    <w:rsid w:val="00B420B1"/>
    <w:rsid w:val="00B43BA9"/>
    <w:rsid w:val="00B4673A"/>
    <w:rsid w:val="00B46D9E"/>
    <w:rsid w:val="00B47B0B"/>
    <w:rsid w:val="00B528C6"/>
    <w:rsid w:val="00B55212"/>
    <w:rsid w:val="00B57FA9"/>
    <w:rsid w:val="00B60881"/>
    <w:rsid w:val="00B66A15"/>
    <w:rsid w:val="00B718A6"/>
    <w:rsid w:val="00B72E49"/>
    <w:rsid w:val="00B7313E"/>
    <w:rsid w:val="00B74E6A"/>
    <w:rsid w:val="00B83600"/>
    <w:rsid w:val="00B858E3"/>
    <w:rsid w:val="00B8610B"/>
    <w:rsid w:val="00B86AEA"/>
    <w:rsid w:val="00B87835"/>
    <w:rsid w:val="00B979B3"/>
    <w:rsid w:val="00BA2015"/>
    <w:rsid w:val="00BA28C0"/>
    <w:rsid w:val="00BA4ADB"/>
    <w:rsid w:val="00BA7572"/>
    <w:rsid w:val="00BB09F7"/>
    <w:rsid w:val="00BB2E07"/>
    <w:rsid w:val="00BB2F75"/>
    <w:rsid w:val="00BB425D"/>
    <w:rsid w:val="00BC0E2B"/>
    <w:rsid w:val="00BC78DB"/>
    <w:rsid w:val="00BE436C"/>
    <w:rsid w:val="00BE50DA"/>
    <w:rsid w:val="00BE7EC8"/>
    <w:rsid w:val="00BF2ED9"/>
    <w:rsid w:val="00BF3C1F"/>
    <w:rsid w:val="00BF44DB"/>
    <w:rsid w:val="00BF6A8C"/>
    <w:rsid w:val="00BF6AC5"/>
    <w:rsid w:val="00C07F52"/>
    <w:rsid w:val="00C175B9"/>
    <w:rsid w:val="00C20B67"/>
    <w:rsid w:val="00C23AC5"/>
    <w:rsid w:val="00C245B5"/>
    <w:rsid w:val="00C2544B"/>
    <w:rsid w:val="00C279EC"/>
    <w:rsid w:val="00C3065F"/>
    <w:rsid w:val="00C37EE6"/>
    <w:rsid w:val="00C425E3"/>
    <w:rsid w:val="00C4482B"/>
    <w:rsid w:val="00C46580"/>
    <w:rsid w:val="00C523B4"/>
    <w:rsid w:val="00C54DE5"/>
    <w:rsid w:val="00C55D5E"/>
    <w:rsid w:val="00C609B6"/>
    <w:rsid w:val="00C62058"/>
    <w:rsid w:val="00C65E2F"/>
    <w:rsid w:val="00C705F0"/>
    <w:rsid w:val="00C70A79"/>
    <w:rsid w:val="00C7277D"/>
    <w:rsid w:val="00C80E98"/>
    <w:rsid w:val="00C8376B"/>
    <w:rsid w:val="00C92257"/>
    <w:rsid w:val="00C95C13"/>
    <w:rsid w:val="00C95E13"/>
    <w:rsid w:val="00CA6993"/>
    <w:rsid w:val="00CB1465"/>
    <w:rsid w:val="00CB15A4"/>
    <w:rsid w:val="00CB15A5"/>
    <w:rsid w:val="00CB173F"/>
    <w:rsid w:val="00CB413A"/>
    <w:rsid w:val="00CC0D5F"/>
    <w:rsid w:val="00CC74BC"/>
    <w:rsid w:val="00CD3C56"/>
    <w:rsid w:val="00CD4726"/>
    <w:rsid w:val="00CD7BF0"/>
    <w:rsid w:val="00CE1DDF"/>
    <w:rsid w:val="00CE5049"/>
    <w:rsid w:val="00CE5814"/>
    <w:rsid w:val="00CE78D5"/>
    <w:rsid w:val="00CE7D06"/>
    <w:rsid w:val="00CF058F"/>
    <w:rsid w:val="00CF44B4"/>
    <w:rsid w:val="00CF470C"/>
    <w:rsid w:val="00D02F4D"/>
    <w:rsid w:val="00D03C18"/>
    <w:rsid w:val="00D0747C"/>
    <w:rsid w:val="00D079B0"/>
    <w:rsid w:val="00D13A0A"/>
    <w:rsid w:val="00D1480F"/>
    <w:rsid w:val="00D14921"/>
    <w:rsid w:val="00D245DD"/>
    <w:rsid w:val="00D315A0"/>
    <w:rsid w:val="00D43250"/>
    <w:rsid w:val="00D4577A"/>
    <w:rsid w:val="00D51CC6"/>
    <w:rsid w:val="00D56C46"/>
    <w:rsid w:val="00D56FDE"/>
    <w:rsid w:val="00D60621"/>
    <w:rsid w:val="00D6168D"/>
    <w:rsid w:val="00D6759D"/>
    <w:rsid w:val="00D70A26"/>
    <w:rsid w:val="00D73662"/>
    <w:rsid w:val="00D80049"/>
    <w:rsid w:val="00D80192"/>
    <w:rsid w:val="00D83ECF"/>
    <w:rsid w:val="00D8446B"/>
    <w:rsid w:val="00D85AD7"/>
    <w:rsid w:val="00D8702A"/>
    <w:rsid w:val="00D8778D"/>
    <w:rsid w:val="00D90BAC"/>
    <w:rsid w:val="00D944DE"/>
    <w:rsid w:val="00D9568D"/>
    <w:rsid w:val="00DA080A"/>
    <w:rsid w:val="00DA17A1"/>
    <w:rsid w:val="00DA4349"/>
    <w:rsid w:val="00DA67E7"/>
    <w:rsid w:val="00DB114D"/>
    <w:rsid w:val="00DB1416"/>
    <w:rsid w:val="00DB5C2B"/>
    <w:rsid w:val="00DC0F44"/>
    <w:rsid w:val="00DC47D5"/>
    <w:rsid w:val="00DC5237"/>
    <w:rsid w:val="00DC6B1C"/>
    <w:rsid w:val="00DC7FE6"/>
    <w:rsid w:val="00DD361A"/>
    <w:rsid w:val="00DD4457"/>
    <w:rsid w:val="00DD54A9"/>
    <w:rsid w:val="00DE162F"/>
    <w:rsid w:val="00DE29A8"/>
    <w:rsid w:val="00DE3433"/>
    <w:rsid w:val="00DE5003"/>
    <w:rsid w:val="00DE5CA9"/>
    <w:rsid w:val="00DE6FA8"/>
    <w:rsid w:val="00DE7ADA"/>
    <w:rsid w:val="00DE7B87"/>
    <w:rsid w:val="00DF08D6"/>
    <w:rsid w:val="00DF291C"/>
    <w:rsid w:val="00DF5439"/>
    <w:rsid w:val="00DF6314"/>
    <w:rsid w:val="00DF6972"/>
    <w:rsid w:val="00DF70A4"/>
    <w:rsid w:val="00DF75EF"/>
    <w:rsid w:val="00E04FB4"/>
    <w:rsid w:val="00E07586"/>
    <w:rsid w:val="00E112D8"/>
    <w:rsid w:val="00E11515"/>
    <w:rsid w:val="00E12736"/>
    <w:rsid w:val="00E204E0"/>
    <w:rsid w:val="00E2115D"/>
    <w:rsid w:val="00E353F9"/>
    <w:rsid w:val="00E36ACA"/>
    <w:rsid w:val="00E41595"/>
    <w:rsid w:val="00E4589E"/>
    <w:rsid w:val="00E46A22"/>
    <w:rsid w:val="00E56E17"/>
    <w:rsid w:val="00E57EC9"/>
    <w:rsid w:val="00E7142E"/>
    <w:rsid w:val="00E75049"/>
    <w:rsid w:val="00E82F5E"/>
    <w:rsid w:val="00E840AC"/>
    <w:rsid w:val="00E94247"/>
    <w:rsid w:val="00EA0844"/>
    <w:rsid w:val="00EA09E6"/>
    <w:rsid w:val="00EA32D9"/>
    <w:rsid w:val="00EA6B1B"/>
    <w:rsid w:val="00EA6E59"/>
    <w:rsid w:val="00EA7BE4"/>
    <w:rsid w:val="00EB653D"/>
    <w:rsid w:val="00EB79B3"/>
    <w:rsid w:val="00EC0EF4"/>
    <w:rsid w:val="00EC65D8"/>
    <w:rsid w:val="00ED0798"/>
    <w:rsid w:val="00ED0D92"/>
    <w:rsid w:val="00ED247A"/>
    <w:rsid w:val="00ED2C7F"/>
    <w:rsid w:val="00ED3106"/>
    <w:rsid w:val="00ED525D"/>
    <w:rsid w:val="00EE0818"/>
    <w:rsid w:val="00EE5B9D"/>
    <w:rsid w:val="00EE6E9F"/>
    <w:rsid w:val="00EE7B75"/>
    <w:rsid w:val="00EF7499"/>
    <w:rsid w:val="00F00151"/>
    <w:rsid w:val="00F01648"/>
    <w:rsid w:val="00F03C19"/>
    <w:rsid w:val="00F0423E"/>
    <w:rsid w:val="00F04ACE"/>
    <w:rsid w:val="00F05FCD"/>
    <w:rsid w:val="00F101F4"/>
    <w:rsid w:val="00F11EC9"/>
    <w:rsid w:val="00F120C6"/>
    <w:rsid w:val="00F12EF2"/>
    <w:rsid w:val="00F142CF"/>
    <w:rsid w:val="00F14A45"/>
    <w:rsid w:val="00F15753"/>
    <w:rsid w:val="00F15F64"/>
    <w:rsid w:val="00F17E61"/>
    <w:rsid w:val="00F250D9"/>
    <w:rsid w:val="00F254F4"/>
    <w:rsid w:val="00F26DAF"/>
    <w:rsid w:val="00F306A7"/>
    <w:rsid w:val="00F35468"/>
    <w:rsid w:val="00F37620"/>
    <w:rsid w:val="00F5402B"/>
    <w:rsid w:val="00F570DC"/>
    <w:rsid w:val="00F57EF4"/>
    <w:rsid w:val="00F60626"/>
    <w:rsid w:val="00F60CAA"/>
    <w:rsid w:val="00F64626"/>
    <w:rsid w:val="00F65617"/>
    <w:rsid w:val="00F75DE4"/>
    <w:rsid w:val="00F82228"/>
    <w:rsid w:val="00F8523D"/>
    <w:rsid w:val="00F90302"/>
    <w:rsid w:val="00F9341A"/>
    <w:rsid w:val="00F9386B"/>
    <w:rsid w:val="00F940D0"/>
    <w:rsid w:val="00FA0058"/>
    <w:rsid w:val="00FA3835"/>
    <w:rsid w:val="00FB5A08"/>
    <w:rsid w:val="00FB6455"/>
    <w:rsid w:val="00FC04E4"/>
    <w:rsid w:val="00FC3924"/>
    <w:rsid w:val="00FC62E4"/>
    <w:rsid w:val="00FD4E23"/>
    <w:rsid w:val="00FD771F"/>
    <w:rsid w:val="00FD79ED"/>
    <w:rsid w:val="00FE3542"/>
    <w:rsid w:val="00FF129E"/>
    <w:rsid w:val="00FF1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4" style="mso-position-vertical-relative:page" fill="f" fillcolor="white" stroke="f">
      <v:fill color="white" on="f"/>
      <v:stroke on="f"/>
    </o:shapedefaults>
    <o:shapelayout v:ext="edit">
      <o:idmap v:ext="edit" data="2"/>
    </o:shapelayout>
  </w:shapeDefaults>
  <w:decimalSymbol w:val="."/>
  <w:listSeparator w:val=","/>
  <w14:docId w14:val="2B218818"/>
  <w15:docId w15:val="{906C995F-9D15-49B8-9831-38EAAD6A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0E5"/>
  </w:style>
  <w:style w:type="paragraph" w:styleId="Heading1">
    <w:name w:val="heading 1"/>
    <w:basedOn w:val="Normal"/>
    <w:link w:val="Heading1Char"/>
    <w:qFormat/>
    <w:rsid w:val="005E7992"/>
    <w:pPr>
      <w:widowControl w:val="0"/>
      <w:autoSpaceDE w:val="0"/>
      <w:autoSpaceDN w:val="0"/>
      <w:spacing w:before="101" w:after="0" w:line="240" w:lineRule="auto"/>
      <w:ind w:left="2289" w:right="2255"/>
      <w:jc w:val="center"/>
      <w:outlineLvl w:val="0"/>
    </w:pPr>
    <w:rPr>
      <w:rFonts w:ascii="Century Schoolbook" w:eastAsia="Century Schoolbook" w:hAnsi="Century Schoolbook" w:cs="Century Schoolbook"/>
      <w:b/>
      <w:bCs/>
      <w:sz w:val="32"/>
      <w:szCs w:val="32"/>
    </w:rPr>
  </w:style>
  <w:style w:type="paragraph" w:styleId="Heading2">
    <w:name w:val="heading 2"/>
    <w:basedOn w:val="Normal"/>
    <w:next w:val="Normal"/>
    <w:link w:val="Heading2Char"/>
    <w:unhideWhenUsed/>
    <w:qFormat/>
    <w:rsid w:val="00BF44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BF44DB"/>
    <w:pPr>
      <w:keepNext/>
      <w:spacing w:after="0" w:line="240" w:lineRule="auto"/>
      <w:outlineLvl w:val="2"/>
    </w:pPr>
    <w:rPr>
      <w:rFonts w:ascii="Arial" w:eastAsia="Times New Roman" w:hAnsi="Arial" w:cs="Arial"/>
      <w:sz w:val="20"/>
      <w:szCs w:val="24"/>
      <w:u w:val="single"/>
    </w:rPr>
  </w:style>
  <w:style w:type="paragraph" w:styleId="Heading4">
    <w:name w:val="heading 4"/>
    <w:basedOn w:val="Normal"/>
    <w:next w:val="Normal"/>
    <w:link w:val="Heading4Char"/>
    <w:qFormat/>
    <w:rsid w:val="00BF44DB"/>
    <w:pPr>
      <w:keepNext/>
      <w:spacing w:after="0" w:line="240" w:lineRule="auto"/>
      <w:jc w:val="center"/>
      <w:outlineLvl w:val="3"/>
    </w:pPr>
    <w:rPr>
      <w:rFonts w:ascii="Arial" w:eastAsia="Times New Roman" w:hAnsi="Arial" w:cs="Arial"/>
      <w:sz w:val="20"/>
      <w:szCs w:val="24"/>
      <w:u w:val="single"/>
    </w:rPr>
  </w:style>
  <w:style w:type="paragraph" w:styleId="Heading5">
    <w:name w:val="heading 5"/>
    <w:basedOn w:val="Normal"/>
    <w:next w:val="Normal"/>
    <w:link w:val="Heading5Char"/>
    <w:uiPriority w:val="9"/>
    <w:semiHidden/>
    <w:unhideWhenUsed/>
    <w:qFormat/>
    <w:rsid w:val="005D2B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1157"/>
    <w:pPr>
      <w:widowControl w:val="0"/>
      <w:autoSpaceDE w:val="0"/>
      <w:autoSpaceDN w:val="0"/>
      <w:spacing w:after="0" w:line="240" w:lineRule="auto"/>
    </w:pPr>
    <w:rPr>
      <w:rFonts w:ascii="Century Schoolbook" w:eastAsia="Century Schoolbook" w:hAnsi="Century Schoolbook" w:cs="Century Schoolbook"/>
    </w:rPr>
  </w:style>
  <w:style w:type="character" w:customStyle="1" w:styleId="BodyTextChar">
    <w:name w:val="Body Text Char"/>
    <w:basedOn w:val="DefaultParagraphFont"/>
    <w:link w:val="BodyText"/>
    <w:uiPriority w:val="1"/>
    <w:rsid w:val="00B31157"/>
    <w:rPr>
      <w:rFonts w:ascii="Century Schoolbook" w:eastAsia="Century Schoolbook" w:hAnsi="Century Schoolbook" w:cs="Century Schoolbook"/>
    </w:rPr>
  </w:style>
  <w:style w:type="character" w:customStyle="1" w:styleId="Heading1Char">
    <w:name w:val="Heading 1 Char"/>
    <w:basedOn w:val="DefaultParagraphFont"/>
    <w:link w:val="Heading1"/>
    <w:rsid w:val="005E7992"/>
    <w:rPr>
      <w:rFonts w:ascii="Century Schoolbook" w:eastAsia="Century Schoolbook" w:hAnsi="Century Schoolbook" w:cs="Century Schoolbook"/>
      <w:b/>
      <w:bCs/>
      <w:sz w:val="32"/>
      <w:szCs w:val="32"/>
    </w:rPr>
  </w:style>
  <w:style w:type="paragraph" w:styleId="Footer">
    <w:name w:val="footer"/>
    <w:basedOn w:val="Normal"/>
    <w:link w:val="FooterChar"/>
    <w:uiPriority w:val="99"/>
    <w:unhideWhenUsed/>
    <w:rsid w:val="005E7992"/>
    <w:pPr>
      <w:widowControl w:val="0"/>
      <w:tabs>
        <w:tab w:val="center" w:pos="4680"/>
        <w:tab w:val="right" w:pos="9360"/>
      </w:tabs>
      <w:autoSpaceDE w:val="0"/>
      <w:autoSpaceDN w:val="0"/>
      <w:spacing w:after="0" w:line="240" w:lineRule="auto"/>
    </w:pPr>
    <w:rPr>
      <w:rFonts w:ascii="Century Schoolbook" w:eastAsia="Century Schoolbook" w:hAnsi="Century Schoolbook" w:cs="Century Schoolbook"/>
    </w:rPr>
  </w:style>
  <w:style w:type="character" w:customStyle="1" w:styleId="FooterChar">
    <w:name w:val="Footer Char"/>
    <w:basedOn w:val="DefaultParagraphFont"/>
    <w:link w:val="Footer"/>
    <w:uiPriority w:val="99"/>
    <w:rsid w:val="005E7992"/>
    <w:rPr>
      <w:rFonts w:ascii="Century Schoolbook" w:eastAsia="Century Schoolbook" w:hAnsi="Century Schoolbook" w:cs="Century Schoolbook"/>
    </w:rPr>
  </w:style>
  <w:style w:type="paragraph" w:styleId="Header">
    <w:name w:val="header"/>
    <w:basedOn w:val="Normal"/>
    <w:link w:val="HeaderChar"/>
    <w:uiPriority w:val="99"/>
    <w:unhideWhenUsed/>
    <w:rsid w:val="00690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0B2"/>
  </w:style>
  <w:style w:type="character" w:styleId="Hyperlink">
    <w:name w:val="Hyperlink"/>
    <w:unhideWhenUsed/>
    <w:rsid w:val="00CA6993"/>
    <w:rPr>
      <w:color w:val="0000FF"/>
      <w:u w:val="single"/>
    </w:rPr>
  </w:style>
  <w:style w:type="paragraph" w:styleId="EndnoteText">
    <w:name w:val="endnote text"/>
    <w:basedOn w:val="Normal"/>
    <w:link w:val="EndnoteTextChar"/>
    <w:semiHidden/>
    <w:unhideWhenUsed/>
    <w:rsid w:val="00CA6993"/>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semiHidden/>
    <w:rsid w:val="00CA6993"/>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semiHidden/>
    <w:rsid w:val="00BF44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BF44DB"/>
    <w:rPr>
      <w:rFonts w:ascii="Arial" w:eastAsia="Times New Roman" w:hAnsi="Arial" w:cs="Arial"/>
      <w:sz w:val="20"/>
      <w:szCs w:val="24"/>
      <w:u w:val="single"/>
    </w:rPr>
  </w:style>
  <w:style w:type="character" w:customStyle="1" w:styleId="Heading4Char">
    <w:name w:val="Heading 4 Char"/>
    <w:basedOn w:val="DefaultParagraphFont"/>
    <w:link w:val="Heading4"/>
    <w:rsid w:val="00BF44DB"/>
    <w:rPr>
      <w:rFonts w:ascii="Arial" w:eastAsia="Times New Roman" w:hAnsi="Arial" w:cs="Arial"/>
      <w:sz w:val="20"/>
      <w:szCs w:val="24"/>
      <w:u w:val="single"/>
    </w:rPr>
  </w:style>
  <w:style w:type="paragraph" w:styleId="Title">
    <w:name w:val="Title"/>
    <w:basedOn w:val="Normal"/>
    <w:link w:val="TitleChar"/>
    <w:qFormat/>
    <w:rsid w:val="00BF44DB"/>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BF44DB"/>
    <w:rPr>
      <w:rFonts w:ascii="Arial" w:eastAsia="Times New Roman" w:hAnsi="Arial" w:cs="Arial"/>
      <w:b/>
      <w:bCs/>
      <w:sz w:val="24"/>
      <w:szCs w:val="24"/>
    </w:rPr>
  </w:style>
  <w:style w:type="paragraph" w:styleId="Caption">
    <w:name w:val="caption"/>
    <w:basedOn w:val="Normal"/>
    <w:next w:val="Normal"/>
    <w:qFormat/>
    <w:rsid w:val="00BF44DB"/>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rsid w:val="00BF44DB"/>
    <w:pPr>
      <w:spacing w:after="0" w:line="240" w:lineRule="auto"/>
    </w:pPr>
    <w:rPr>
      <w:rFonts w:ascii="Arial" w:eastAsia="Times New Roman" w:hAnsi="Arial" w:cs="Arial"/>
      <w:sz w:val="20"/>
      <w:szCs w:val="24"/>
    </w:rPr>
  </w:style>
  <w:style w:type="character" w:customStyle="1" w:styleId="BodyText2Char">
    <w:name w:val="Body Text 2 Char"/>
    <w:basedOn w:val="DefaultParagraphFont"/>
    <w:link w:val="BodyText2"/>
    <w:rsid w:val="00BF44DB"/>
    <w:rPr>
      <w:rFonts w:ascii="Arial" w:eastAsia="Times New Roman" w:hAnsi="Arial" w:cs="Arial"/>
      <w:sz w:val="20"/>
      <w:szCs w:val="24"/>
    </w:rPr>
  </w:style>
  <w:style w:type="paragraph" w:styleId="BodyText3">
    <w:name w:val="Body Text 3"/>
    <w:basedOn w:val="Normal"/>
    <w:link w:val="BodyText3Char"/>
    <w:rsid w:val="00BF44DB"/>
    <w:pPr>
      <w:spacing w:after="0" w:line="240" w:lineRule="auto"/>
      <w:jc w:val="center"/>
    </w:pPr>
    <w:rPr>
      <w:rFonts w:ascii="Arial" w:eastAsia="Times New Roman" w:hAnsi="Arial" w:cs="Arial"/>
      <w:sz w:val="20"/>
      <w:szCs w:val="24"/>
      <w:u w:val="single"/>
    </w:rPr>
  </w:style>
  <w:style w:type="character" w:customStyle="1" w:styleId="BodyText3Char">
    <w:name w:val="Body Text 3 Char"/>
    <w:basedOn w:val="DefaultParagraphFont"/>
    <w:link w:val="BodyText3"/>
    <w:rsid w:val="00BF44DB"/>
    <w:rPr>
      <w:rFonts w:ascii="Arial" w:eastAsia="Times New Roman" w:hAnsi="Arial" w:cs="Arial"/>
      <w:sz w:val="20"/>
      <w:szCs w:val="24"/>
      <w:u w:val="single"/>
    </w:rPr>
  </w:style>
  <w:style w:type="character" w:styleId="PageNumber">
    <w:name w:val="page number"/>
    <w:basedOn w:val="DefaultParagraphFont"/>
    <w:rsid w:val="00BF44DB"/>
  </w:style>
  <w:style w:type="paragraph" w:styleId="BalloonText">
    <w:name w:val="Balloon Text"/>
    <w:basedOn w:val="Normal"/>
    <w:link w:val="BalloonTextChar"/>
    <w:semiHidden/>
    <w:rsid w:val="00BF44D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F44DB"/>
    <w:rPr>
      <w:rFonts w:ascii="Tahoma" w:eastAsia="Times New Roman" w:hAnsi="Tahoma" w:cs="Tahoma"/>
      <w:sz w:val="16"/>
      <w:szCs w:val="16"/>
    </w:rPr>
  </w:style>
  <w:style w:type="character" w:styleId="CommentReference">
    <w:name w:val="annotation reference"/>
    <w:uiPriority w:val="99"/>
    <w:rsid w:val="00BF44DB"/>
    <w:rPr>
      <w:sz w:val="16"/>
      <w:szCs w:val="16"/>
    </w:rPr>
  </w:style>
  <w:style w:type="paragraph" w:styleId="CommentText">
    <w:name w:val="annotation text"/>
    <w:basedOn w:val="Normal"/>
    <w:link w:val="CommentTextChar"/>
    <w:uiPriority w:val="99"/>
    <w:rsid w:val="00BF44D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F44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F44DB"/>
    <w:rPr>
      <w:b/>
      <w:bCs/>
    </w:rPr>
  </w:style>
  <w:style w:type="character" w:customStyle="1" w:styleId="CommentSubjectChar">
    <w:name w:val="Comment Subject Char"/>
    <w:basedOn w:val="CommentTextChar"/>
    <w:link w:val="CommentSubject"/>
    <w:rsid w:val="00BF44DB"/>
    <w:rPr>
      <w:rFonts w:ascii="Times New Roman" w:eastAsia="Times New Roman" w:hAnsi="Times New Roman" w:cs="Times New Roman"/>
      <w:b/>
      <w:bCs/>
      <w:sz w:val="20"/>
      <w:szCs w:val="20"/>
    </w:rPr>
  </w:style>
  <w:style w:type="paragraph" w:styleId="Revision">
    <w:name w:val="Revision"/>
    <w:hidden/>
    <w:uiPriority w:val="99"/>
    <w:semiHidden/>
    <w:rsid w:val="00BF44DB"/>
    <w:pPr>
      <w:spacing w:after="0" w:line="240" w:lineRule="auto"/>
    </w:pPr>
    <w:rPr>
      <w:rFonts w:ascii="Times New Roman" w:eastAsia="Times New Roman" w:hAnsi="Times New Roman" w:cs="Times New Roman"/>
      <w:sz w:val="24"/>
      <w:szCs w:val="24"/>
    </w:rPr>
  </w:style>
  <w:style w:type="character" w:customStyle="1" w:styleId="tab">
    <w:name w:val="tab"/>
    <w:rsid w:val="00BF44DB"/>
  </w:style>
  <w:style w:type="character" w:styleId="FollowedHyperlink">
    <w:name w:val="FollowedHyperlink"/>
    <w:rsid w:val="00BF44DB"/>
    <w:rPr>
      <w:color w:val="954F72"/>
      <w:u w:val="single"/>
    </w:rPr>
  </w:style>
  <w:style w:type="paragraph" w:styleId="BodyTextIndent">
    <w:name w:val="Body Text Indent"/>
    <w:basedOn w:val="Normal"/>
    <w:link w:val="BodyTextIndentChar"/>
    <w:unhideWhenUsed/>
    <w:rsid w:val="0056179C"/>
    <w:pPr>
      <w:spacing w:after="120"/>
      <w:ind w:left="360"/>
    </w:pPr>
  </w:style>
  <w:style w:type="character" w:customStyle="1" w:styleId="BodyTextIndentChar">
    <w:name w:val="Body Text Indent Char"/>
    <w:basedOn w:val="DefaultParagraphFont"/>
    <w:link w:val="BodyTextIndent"/>
    <w:uiPriority w:val="99"/>
    <w:semiHidden/>
    <w:rsid w:val="0056179C"/>
  </w:style>
  <w:style w:type="paragraph" w:styleId="BodyTextIndent3">
    <w:name w:val="Body Text Indent 3"/>
    <w:basedOn w:val="Normal"/>
    <w:link w:val="BodyTextIndent3Char"/>
    <w:rsid w:val="0056179C"/>
    <w:pPr>
      <w:spacing w:after="0" w:line="240" w:lineRule="auto"/>
      <w:ind w:left="720"/>
    </w:pPr>
    <w:rPr>
      <w:rFonts w:ascii="Courier" w:eastAsia="Times New Roman" w:hAnsi="Courier" w:cs="Times New Roman"/>
      <w:sz w:val="24"/>
      <w:szCs w:val="20"/>
    </w:rPr>
  </w:style>
  <w:style w:type="character" w:customStyle="1" w:styleId="BodyTextIndent3Char">
    <w:name w:val="Body Text Indent 3 Char"/>
    <w:basedOn w:val="DefaultParagraphFont"/>
    <w:link w:val="BodyTextIndent3"/>
    <w:rsid w:val="0056179C"/>
    <w:rPr>
      <w:rFonts w:ascii="Courier" w:eastAsia="Times New Roman" w:hAnsi="Courier" w:cs="Times New Roman"/>
      <w:sz w:val="24"/>
      <w:szCs w:val="20"/>
    </w:rPr>
  </w:style>
  <w:style w:type="character" w:styleId="FootnoteReference">
    <w:name w:val="footnote reference"/>
    <w:semiHidden/>
    <w:rsid w:val="0056179C"/>
    <w:rPr>
      <w:vertAlign w:val="superscript"/>
    </w:rPr>
  </w:style>
  <w:style w:type="table" w:styleId="TableGrid">
    <w:name w:val="Table Grid"/>
    <w:basedOn w:val="TableNormal"/>
    <w:rsid w:val="005617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56179C"/>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both"/>
    </w:pPr>
    <w:rPr>
      <w:rFonts w:ascii="Times New Roman" w:eastAsia="Times New Roman" w:hAnsi="Times New Roman" w:cs="Times New Roman"/>
      <w:sz w:val="20"/>
      <w:szCs w:val="20"/>
    </w:rPr>
  </w:style>
  <w:style w:type="table" w:styleId="TableElegant">
    <w:name w:val="Table Elegant"/>
    <w:basedOn w:val="TableNormal"/>
    <w:rsid w:val="0056179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xBrt1">
    <w:name w:val="TxBr_t1"/>
    <w:basedOn w:val="Normal"/>
    <w:rsid w:val="0056179C"/>
    <w:pPr>
      <w:widowControl w:val="0"/>
      <w:spacing w:after="0" w:line="240" w:lineRule="atLeast"/>
    </w:pPr>
    <w:rPr>
      <w:rFonts w:ascii="Times New Roman" w:eastAsia="Times New Roman" w:hAnsi="Times New Roman" w:cs="Times New Roman"/>
      <w:snapToGrid w:val="0"/>
      <w:sz w:val="24"/>
      <w:szCs w:val="20"/>
    </w:rPr>
  </w:style>
  <w:style w:type="paragraph" w:styleId="DocumentMap">
    <w:name w:val="Document Map"/>
    <w:basedOn w:val="Normal"/>
    <w:link w:val="DocumentMapChar"/>
    <w:rsid w:val="0056179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56179C"/>
    <w:rPr>
      <w:rFonts w:ascii="Tahoma" w:eastAsia="Times New Roman" w:hAnsi="Tahoma" w:cs="Tahoma"/>
      <w:sz w:val="16"/>
      <w:szCs w:val="16"/>
    </w:rPr>
  </w:style>
  <w:style w:type="table" w:styleId="TableClassic1">
    <w:name w:val="Table Classic 1"/>
    <w:basedOn w:val="TableNormal"/>
    <w:rsid w:val="0056179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6179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uiPriority w:val="22"/>
    <w:qFormat/>
    <w:rsid w:val="0056179C"/>
    <w:rPr>
      <w:b/>
      <w:bCs/>
    </w:rPr>
  </w:style>
  <w:style w:type="paragraph" w:customStyle="1" w:styleId="xl26">
    <w:name w:val="xl26"/>
    <w:basedOn w:val="Normal"/>
    <w:rsid w:val="0056179C"/>
    <w:pPr>
      <w:spacing w:before="100" w:beforeAutospacing="1" w:after="100" w:afterAutospacing="1" w:line="240" w:lineRule="auto"/>
    </w:pPr>
    <w:rPr>
      <w:rFonts w:ascii="Times New Roman" w:eastAsia="Arial Unicode MS" w:hAnsi="Times New Roman" w:cs="Times New Roman"/>
      <w:sz w:val="24"/>
      <w:szCs w:val="24"/>
    </w:rPr>
  </w:style>
  <w:style w:type="paragraph" w:styleId="ListParagraph">
    <w:name w:val="List Paragraph"/>
    <w:basedOn w:val="Normal"/>
    <w:uiPriority w:val="1"/>
    <w:qFormat/>
    <w:rsid w:val="00E41595"/>
    <w:pPr>
      <w:spacing w:after="0" w:line="240" w:lineRule="auto"/>
      <w:ind w:left="720"/>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5D2B5A"/>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5D2B5A"/>
    <w:pPr>
      <w:widowControl w:val="0"/>
      <w:autoSpaceDE w:val="0"/>
      <w:autoSpaceDN w:val="0"/>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1A6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1628">
      <w:bodyDiv w:val="1"/>
      <w:marLeft w:val="0"/>
      <w:marRight w:val="0"/>
      <w:marTop w:val="0"/>
      <w:marBottom w:val="0"/>
      <w:divBdr>
        <w:top w:val="none" w:sz="0" w:space="0" w:color="auto"/>
        <w:left w:val="none" w:sz="0" w:space="0" w:color="auto"/>
        <w:bottom w:val="none" w:sz="0" w:space="0" w:color="auto"/>
        <w:right w:val="none" w:sz="0" w:space="0" w:color="auto"/>
      </w:divBdr>
      <w:divsChild>
        <w:div w:id="1897348471">
          <w:marLeft w:val="0"/>
          <w:marRight w:val="0"/>
          <w:marTop w:val="0"/>
          <w:marBottom w:val="0"/>
          <w:divBdr>
            <w:top w:val="none" w:sz="0" w:space="0" w:color="auto"/>
            <w:left w:val="none" w:sz="0" w:space="0" w:color="auto"/>
            <w:bottom w:val="none" w:sz="0" w:space="0" w:color="auto"/>
            <w:right w:val="none" w:sz="0" w:space="0" w:color="auto"/>
          </w:divBdr>
          <w:divsChild>
            <w:div w:id="1308978190">
              <w:marLeft w:val="0"/>
              <w:marRight w:val="0"/>
              <w:marTop w:val="0"/>
              <w:marBottom w:val="0"/>
              <w:divBdr>
                <w:top w:val="none" w:sz="0" w:space="0" w:color="auto"/>
                <w:left w:val="none" w:sz="0" w:space="0" w:color="auto"/>
                <w:bottom w:val="none" w:sz="0" w:space="0" w:color="auto"/>
                <w:right w:val="none" w:sz="0" w:space="0" w:color="auto"/>
              </w:divBdr>
              <w:divsChild>
                <w:div w:id="81681603">
                  <w:marLeft w:val="0"/>
                  <w:marRight w:val="0"/>
                  <w:marTop w:val="0"/>
                  <w:marBottom w:val="0"/>
                  <w:divBdr>
                    <w:top w:val="none" w:sz="0" w:space="0" w:color="auto"/>
                    <w:left w:val="none" w:sz="0" w:space="0" w:color="auto"/>
                    <w:bottom w:val="none" w:sz="0" w:space="0" w:color="auto"/>
                    <w:right w:val="none" w:sz="0" w:space="0" w:color="auto"/>
                  </w:divBdr>
                  <w:divsChild>
                    <w:div w:id="1952131819">
                      <w:marLeft w:val="0"/>
                      <w:marRight w:val="0"/>
                      <w:marTop w:val="0"/>
                      <w:marBottom w:val="0"/>
                      <w:divBdr>
                        <w:top w:val="none" w:sz="0" w:space="0" w:color="auto"/>
                        <w:left w:val="none" w:sz="0" w:space="0" w:color="auto"/>
                        <w:bottom w:val="none" w:sz="0" w:space="0" w:color="auto"/>
                        <w:right w:val="none" w:sz="0" w:space="0" w:color="auto"/>
                      </w:divBdr>
                      <w:divsChild>
                        <w:div w:id="149922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122685">
      <w:bodyDiv w:val="1"/>
      <w:marLeft w:val="0"/>
      <w:marRight w:val="0"/>
      <w:marTop w:val="0"/>
      <w:marBottom w:val="0"/>
      <w:divBdr>
        <w:top w:val="none" w:sz="0" w:space="0" w:color="auto"/>
        <w:left w:val="none" w:sz="0" w:space="0" w:color="auto"/>
        <w:bottom w:val="none" w:sz="0" w:space="0" w:color="auto"/>
        <w:right w:val="none" w:sz="0" w:space="0" w:color="auto"/>
      </w:divBdr>
    </w:div>
    <w:div w:id="475604681">
      <w:bodyDiv w:val="1"/>
      <w:marLeft w:val="0"/>
      <w:marRight w:val="0"/>
      <w:marTop w:val="0"/>
      <w:marBottom w:val="0"/>
      <w:divBdr>
        <w:top w:val="none" w:sz="0" w:space="0" w:color="auto"/>
        <w:left w:val="none" w:sz="0" w:space="0" w:color="auto"/>
        <w:bottom w:val="none" w:sz="0" w:space="0" w:color="auto"/>
        <w:right w:val="none" w:sz="0" w:space="0" w:color="auto"/>
      </w:divBdr>
    </w:div>
    <w:div w:id="527989479">
      <w:bodyDiv w:val="1"/>
      <w:marLeft w:val="0"/>
      <w:marRight w:val="0"/>
      <w:marTop w:val="0"/>
      <w:marBottom w:val="0"/>
      <w:divBdr>
        <w:top w:val="none" w:sz="0" w:space="0" w:color="auto"/>
        <w:left w:val="none" w:sz="0" w:space="0" w:color="auto"/>
        <w:bottom w:val="none" w:sz="0" w:space="0" w:color="auto"/>
        <w:right w:val="none" w:sz="0" w:space="0" w:color="auto"/>
      </w:divBdr>
      <w:divsChild>
        <w:div w:id="137891668">
          <w:marLeft w:val="0"/>
          <w:marRight w:val="0"/>
          <w:marTop w:val="0"/>
          <w:marBottom w:val="0"/>
          <w:divBdr>
            <w:top w:val="none" w:sz="0" w:space="0" w:color="auto"/>
            <w:left w:val="none" w:sz="0" w:space="0" w:color="auto"/>
            <w:bottom w:val="none" w:sz="0" w:space="0" w:color="auto"/>
            <w:right w:val="none" w:sz="0" w:space="0" w:color="auto"/>
          </w:divBdr>
          <w:divsChild>
            <w:div w:id="1815221740">
              <w:marLeft w:val="0"/>
              <w:marRight w:val="0"/>
              <w:marTop w:val="0"/>
              <w:marBottom w:val="0"/>
              <w:divBdr>
                <w:top w:val="none" w:sz="0" w:space="0" w:color="auto"/>
                <w:left w:val="none" w:sz="0" w:space="0" w:color="auto"/>
                <w:bottom w:val="none" w:sz="0" w:space="0" w:color="auto"/>
                <w:right w:val="none" w:sz="0" w:space="0" w:color="auto"/>
              </w:divBdr>
              <w:divsChild>
                <w:div w:id="1621376287">
                  <w:marLeft w:val="0"/>
                  <w:marRight w:val="0"/>
                  <w:marTop w:val="0"/>
                  <w:marBottom w:val="0"/>
                  <w:divBdr>
                    <w:top w:val="none" w:sz="0" w:space="0" w:color="auto"/>
                    <w:left w:val="none" w:sz="0" w:space="0" w:color="auto"/>
                    <w:bottom w:val="none" w:sz="0" w:space="0" w:color="auto"/>
                    <w:right w:val="none" w:sz="0" w:space="0" w:color="auto"/>
                  </w:divBdr>
                  <w:divsChild>
                    <w:div w:id="1720782825">
                      <w:marLeft w:val="0"/>
                      <w:marRight w:val="0"/>
                      <w:marTop w:val="0"/>
                      <w:marBottom w:val="0"/>
                      <w:divBdr>
                        <w:top w:val="none" w:sz="0" w:space="0" w:color="auto"/>
                        <w:left w:val="none" w:sz="0" w:space="0" w:color="auto"/>
                        <w:bottom w:val="none" w:sz="0" w:space="0" w:color="auto"/>
                        <w:right w:val="none" w:sz="0" w:space="0" w:color="auto"/>
                      </w:divBdr>
                      <w:divsChild>
                        <w:div w:id="95606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452688">
      <w:bodyDiv w:val="1"/>
      <w:marLeft w:val="0"/>
      <w:marRight w:val="0"/>
      <w:marTop w:val="0"/>
      <w:marBottom w:val="0"/>
      <w:divBdr>
        <w:top w:val="none" w:sz="0" w:space="0" w:color="auto"/>
        <w:left w:val="none" w:sz="0" w:space="0" w:color="auto"/>
        <w:bottom w:val="none" w:sz="0" w:space="0" w:color="auto"/>
        <w:right w:val="none" w:sz="0" w:space="0" w:color="auto"/>
      </w:divBdr>
      <w:divsChild>
        <w:div w:id="1349914990">
          <w:marLeft w:val="0"/>
          <w:marRight w:val="0"/>
          <w:marTop w:val="0"/>
          <w:marBottom w:val="0"/>
          <w:divBdr>
            <w:top w:val="none" w:sz="0" w:space="0" w:color="auto"/>
            <w:left w:val="none" w:sz="0" w:space="0" w:color="auto"/>
            <w:bottom w:val="none" w:sz="0" w:space="0" w:color="auto"/>
            <w:right w:val="none" w:sz="0" w:space="0" w:color="auto"/>
          </w:divBdr>
          <w:divsChild>
            <w:div w:id="297301856">
              <w:marLeft w:val="0"/>
              <w:marRight w:val="0"/>
              <w:marTop w:val="0"/>
              <w:marBottom w:val="0"/>
              <w:divBdr>
                <w:top w:val="none" w:sz="0" w:space="0" w:color="auto"/>
                <w:left w:val="none" w:sz="0" w:space="0" w:color="auto"/>
                <w:bottom w:val="none" w:sz="0" w:space="0" w:color="auto"/>
                <w:right w:val="none" w:sz="0" w:space="0" w:color="auto"/>
              </w:divBdr>
              <w:divsChild>
                <w:div w:id="1831554220">
                  <w:marLeft w:val="0"/>
                  <w:marRight w:val="0"/>
                  <w:marTop w:val="0"/>
                  <w:marBottom w:val="0"/>
                  <w:divBdr>
                    <w:top w:val="none" w:sz="0" w:space="0" w:color="auto"/>
                    <w:left w:val="none" w:sz="0" w:space="0" w:color="auto"/>
                    <w:bottom w:val="none" w:sz="0" w:space="0" w:color="auto"/>
                    <w:right w:val="none" w:sz="0" w:space="0" w:color="auto"/>
                  </w:divBdr>
                  <w:divsChild>
                    <w:div w:id="758714872">
                      <w:marLeft w:val="0"/>
                      <w:marRight w:val="0"/>
                      <w:marTop w:val="0"/>
                      <w:marBottom w:val="0"/>
                      <w:divBdr>
                        <w:top w:val="none" w:sz="0" w:space="0" w:color="auto"/>
                        <w:left w:val="none" w:sz="0" w:space="0" w:color="auto"/>
                        <w:bottom w:val="none" w:sz="0" w:space="0" w:color="auto"/>
                        <w:right w:val="none" w:sz="0" w:space="0" w:color="auto"/>
                      </w:divBdr>
                      <w:divsChild>
                        <w:div w:id="11243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95800">
      <w:bodyDiv w:val="1"/>
      <w:marLeft w:val="0"/>
      <w:marRight w:val="0"/>
      <w:marTop w:val="0"/>
      <w:marBottom w:val="0"/>
      <w:divBdr>
        <w:top w:val="none" w:sz="0" w:space="0" w:color="auto"/>
        <w:left w:val="none" w:sz="0" w:space="0" w:color="auto"/>
        <w:bottom w:val="none" w:sz="0" w:space="0" w:color="auto"/>
        <w:right w:val="none" w:sz="0" w:space="0" w:color="auto"/>
      </w:divBdr>
      <w:divsChild>
        <w:div w:id="1041436868">
          <w:marLeft w:val="0"/>
          <w:marRight w:val="0"/>
          <w:marTop w:val="0"/>
          <w:marBottom w:val="0"/>
          <w:divBdr>
            <w:top w:val="none" w:sz="0" w:space="0" w:color="auto"/>
            <w:left w:val="none" w:sz="0" w:space="0" w:color="auto"/>
            <w:bottom w:val="none" w:sz="0" w:space="0" w:color="auto"/>
            <w:right w:val="none" w:sz="0" w:space="0" w:color="auto"/>
          </w:divBdr>
          <w:divsChild>
            <w:div w:id="502938366">
              <w:marLeft w:val="0"/>
              <w:marRight w:val="0"/>
              <w:marTop w:val="0"/>
              <w:marBottom w:val="0"/>
              <w:divBdr>
                <w:top w:val="none" w:sz="0" w:space="0" w:color="auto"/>
                <w:left w:val="none" w:sz="0" w:space="0" w:color="auto"/>
                <w:bottom w:val="none" w:sz="0" w:space="0" w:color="auto"/>
                <w:right w:val="none" w:sz="0" w:space="0" w:color="auto"/>
              </w:divBdr>
              <w:divsChild>
                <w:div w:id="1040134869">
                  <w:marLeft w:val="0"/>
                  <w:marRight w:val="0"/>
                  <w:marTop w:val="0"/>
                  <w:marBottom w:val="0"/>
                  <w:divBdr>
                    <w:top w:val="none" w:sz="0" w:space="0" w:color="auto"/>
                    <w:left w:val="none" w:sz="0" w:space="0" w:color="auto"/>
                    <w:bottom w:val="none" w:sz="0" w:space="0" w:color="auto"/>
                    <w:right w:val="none" w:sz="0" w:space="0" w:color="auto"/>
                  </w:divBdr>
                  <w:divsChild>
                    <w:div w:id="682974259">
                      <w:marLeft w:val="0"/>
                      <w:marRight w:val="0"/>
                      <w:marTop w:val="0"/>
                      <w:marBottom w:val="0"/>
                      <w:divBdr>
                        <w:top w:val="none" w:sz="0" w:space="0" w:color="auto"/>
                        <w:left w:val="none" w:sz="0" w:space="0" w:color="auto"/>
                        <w:bottom w:val="none" w:sz="0" w:space="0" w:color="auto"/>
                        <w:right w:val="none" w:sz="0" w:space="0" w:color="auto"/>
                      </w:divBdr>
                      <w:divsChild>
                        <w:div w:id="2230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77091">
      <w:bodyDiv w:val="1"/>
      <w:marLeft w:val="0"/>
      <w:marRight w:val="0"/>
      <w:marTop w:val="0"/>
      <w:marBottom w:val="0"/>
      <w:divBdr>
        <w:top w:val="none" w:sz="0" w:space="0" w:color="auto"/>
        <w:left w:val="none" w:sz="0" w:space="0" w:color="auto"/>
        <w:bottom w:val="none" w:sz="0" w:space="0" w:color="auto"/>
        <w:right w:val="none" w:sz="0" w:space="0" w:color="auto"/>
      </w:divBdr>
    </w:div>
    <w:div w:id="1425608680">
      <w:bodyDiv w:val="1"/>
      <w:marLeft w:val="0"/>
      <w:marRight w:val="0"/>
      <w:marTop w:val="0"/>
      <w:marBottom w:val="0"/>
      <w:divBdr>
        <w:top w:val="none" w:sz="0" w:space="0" w:color="auto"/>
        <w:left w:val="none" w:sz="0" w:space="0" w:color="auto"/>
        <w:bottom w:val="none" w:sz="0" w:space="0" w:color="auto"/>
        <w:right w:val="none" w:sz="0" w:space="0" w:color="auto"/>
      </w:divBdr>
    </w:div>
    <w:div w:id="1711294697">
      <w:bodyDiv w:val="1"/>
      <w:marLeft w:val="0"/>
      <w:marRight w:val="0"/>
      <w:marTop w:val="0"/>
      <w:marBottom w:val="0"/>
      <w:divBdr>
        <w:top w:val="none" w:sz="0" w:space="0" w:color="auto"/>
        <w:left w:val="none" w:sz="0" w:space="0" w:color="auto"/>
        <w:bottom w:val="none" w:sz="0" w:space="0" w:color="auto"/>
        <w:right w:val="none" w:sz="0" w:space="0" w:color="auto"/>
      </w:divBdr>
    </w:div>
    <w:div w:id="1795517561">
      <w:bodyDiv w:val="1"/>
      <w:marLeft w:val="0"/>
      <w:marRight w:val="0"/>
      <w:marTop w:val="0"/>
      <w:marBottom w:val="0"/>
      <w:divBdr>
        <w:top w:val="none" w:sz="0" w:space="0" w:color="auto"/>
        <w:left w:val="none" w:sz="0" w:space="0" w:color="auto"/>
        <w:bottom w:val="none" w:sz="0" w:space="0" w:color="auto"/>
        <w:right w:val="none" w:sz="0" w:space="0" w:color="auto"/>
      </w:divBdr>
    </w:div>
    <w:div w:id="1983346052">
      <w:bodyDiv w:val="1"/>
      <w:marLeft w:val="0"/>
      <w:marRight w:val="0"/>
      <w:marTop w:val="0"/>
      <w:marBottom w:val="0"/>
      <w:divBdr>
        <w:top w:val="none" w:sz="0" w:space="0" w:color="auto"/>
        <w:left w:val="none" w:sz="0" w:space="0" w:color="auto"/>
        <w:bottom w:val="none" w:sz="0" w:space="0" w:color="auto"/>
        <w:right w:val="none" w:sz="0" w:space="0" w:color="auto"/>
      </w:divBdr>
    </w:div>
    <w:div w:id="2039695265">
      <w:bodyDiv w:val="1"/>
      <w:marLeft w:val="0"/>
      <w:marRight w:val="0"/>
      <w:marTop w:val="0"/>
      <w:marBottom w:val="0"/>
      <w:divBdr>
        <w:top w:val="none" w:sz="0" w:space="0" w:color="auto"/>
        <w:left w:val="none" w:sz="0" w:space="0" w:color="auto"/>
        <w:bottom w:val="none" w:sz="0" w:space="0" w:color="auto"/>
        <w:right w:val="none" w:sz="0" w:space="0" w:color="auto"/>
      </w:divBdr>
    </w:div>
    <w:div w:id="2081173465">
      <w:bodyDiv w:val="1"/>
      <w:marLeft w:val="0"/>
      <w:marRight w:val="0"/>
      <w:marTop w:val="0"/>
      <w:marBottom w:val="0"/>
      <w:divBdr>
        <w:top w:val="none" w:sz="0" w:space="0" w:color="auto"/>
        <w:left w:val="none" w:sz="0" w:space="0" w:color="auto"/>
        <w:bottom w:val="none" w:sz="0" w:space="0" w:color="auto"/>
        <w:right w:val="none" w:sz="0" w:space="0" w:color="auto"/>
      </w:divBdr>
      <w:divsChild>
        <w:div w:id="440615704">
          <w:marLeft w:val="0"/>
          <w:marRight w:val="0"/>
          <w:marTop w:val="0"/>
          <w:marBottom w:val="0"/>
          <w:divBdr>
            <w:top w:val="none" w:sz="0" w:space="0" w:color="auto"/>
            <w:left w:val="none" w:sz="0" w:space="0" w:color="auto"/>
            <w:bottom w:val="none" w:sz="0" w:space="0" w:color="auto"/>
            <w:right w:val="none" w:sz="0" w:space="0" w:color="auto"/>
          </w:divBdr>
          <w:divsChild>
            <w:div w:id="1544176979">
              <w:marLeft w:val="1200"/>
              <w:marRight w:val="0"/>
              <w:marTop w:val="0"/>
              <w:marBottom w:val="0"/>
              <w:divBdr>
                <w:top w:val="none" w:sz="0" w:space="0" w:color="auto"/>
                <w:left w:val="none" w:sz="0" w:space="0" w:color="auto"/>
                <w:bottom w:val="none" w:sz="0" w:space="0" w:color="auto"/>
                <w:right w:val="none" w:sz="0" w:space="0" w:color="auto"/>
              </w:divBdr>
              <w:divsChild>
                <w:div w:id="1765688524">
                  <w:marLeft w:val="0"/>
                  <w:marRight w:val="0"/>
                  <w:marTop w:val="0"/>
                  <w:marBottom w:val="0"/>
                  <w:divBdr>
                    <w:top w:val="none" w:sz="0" w:space="0" w:color="auto"/>
                    <w:left w:val="none" w:sz="0" w:space="0" w:color="auto"/>
                    <w:bottom w:val="none" w:sz="0" w:space="0" w:color="auto"/>
                    <w:right w:val="none" w:sz="0" w:space="0" w:color="auto"/>
                  </w:divBdr>
                  <w:divsChild>
                    <w:div w:id="1389381977">
                      <w:marLeft w:val="0"/>
                      <w:marRight w:val="0"/>
                      <w:marTop w:val="0"/>
                      <w:marBottom w:val="0"/>
                      <w:divBdr>
                        <w:top w:val="none" w:sz="0" w:space="0" w:color="auto"/>
                        <w:left w:val="none" w:sz="0" w:space="0" w:color="auto"/>
                        <w:bottom w:val="none" w:sz="0" w:space="0" w:color="auto"/>
                        <w:right w:val="none" w:sz="0" w:space="0" w:color="auto"/>
                      </w:divBdr>
                      <w:divsChild>
                        <w:div w:id="871498010">
                          <w:marLeft w:val="0"/>
                          <w:marRight w:val="0"/>
                          <w:marTop w:val="0"/>
                          <w:marBottom w:val="0"/>
                          <w:divBdr>
                            <w:top w:val="none" w:sz="0" w:space="0" w:color="auto"/>
                            <w:left w:val="none" w:sz="0" w:space="0" w:color="auto"/>
                            <w:bottom w:val="none" w:sz="0" w:space="0" w:color="auto"/>
                            <w:right w:val="none" w:sz="0" w:space="0" w:color="auto"/>
                          </w:divBdr>
                          <w:divsChild>
                            <w:div w:id="99377337">
                              <w:marLeft w:val="0"/>
                              <w:marRight w:val="0"/>
                              <w:marTop w:val="0"/>
                              <w:marBottom w:val="0"/>
                              <w:divBdr>
                                <w:top w:val="none" w:sz="0" w:space="0" w:color="auto"/>
                                <w:left w:val="none" w:sz="0" w:space="0" w:color="auto"/>
                                <w:bottom w:val="none" w:sz="0" w:space="0" w:color="auto"/>
                                <w:right w:val="none" w:sz="0" w:space="0" w:color="auto"/>
                              </w:divBdr>
                              <w:divsChild>
                                <w:div w:id="906306673">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1284536817">
                                          <w:marLeft w:val="0"/>
                                          <w:marRight w:val="0"/>
                                          <w:marTop w:val="0"/>
                                          <w:marBottom w:val="0"/>
                                          <w:divBdr>
                                            <w:top w:val="none" w:sz="0" w:space="0" w:color="auto"/>
                                            <w:left w:val="none" w:sz="0" w:space="0" w:color="auto"/>
                                            <w:bottom w:val="none" w:sz="0" w:space="0" w:color="auto"/>
                                            <w:right w:val="none" w:sz="0" w:space="0" w:color="auto"/>
                                          </w:divBdr>
                                          <w:divsChild>
                                            <w:div w:id="359479314">
                                              <w:marLeft w:val="0"/>
                                              <w:marRight w:val="0"/>
                                              <w:marTop w:val="0"/>
                                              <w:marBottom w:val="0"/>
                                              <w:divBdr>
                                                <w:top w:val="none" w:sz="0" w:space="0" w:color="auto"/>
                                                <w:left w:val="none" w:sz="0" w:space="0" w:color="auto"/>
                                                <w:bottom w:val="none" w:sz="0" w:space="0" w:color="auto"/>
                                                <w:right w:val="none" w:sz="0" w:space="0" w:color="auto"/>
                                              </w:divBdr>
                                            </w:div>
                                            <w:div w:id="1122963082">
                                              <w:marLeft w:val="0"/>
                                              <w:marRight w:val="0"/>
                                              <w:marTop w:val="0"/>
                                              <w:marBottom w:val="0"/>
                                              <w:divBdr>
                                                <w:top w:val="none" w:sz="0" w:space="0" w:color="auto"/>
                                                <w:left w:val="none" w:sz="0" w:space="0" w:color="auto"/>
                                                <w:bottom w:val="none" w:sz="0" w:space="0" w:color="auto"/>
                                                <w:right w:val="none" w:sz="0" w:space="0" w:color="auto"/>
                                              </w:divBdr>
                                              <w:divsChild>
                                                <w:div w:id="1255939235">
                                                  <w:marLeft w:val="0"/>
                                                  <w:marRight w:val="0"/>
                                                  <w:marTop w:val="0"/>
                                                  <w:marBottom w:val="0"/>
                                                  <w:divBdr>
                                                    <w:top w:val="none" w:sz="0" w:space="0" w:color="auto"/>
                                                    <w:left w:val="none" w:sz="0" w:space="0" w:color="auto"/>
                                                    <w:bottom w:val="none" w:sz="0" w:space="0" w:color="auto"/>
                                                    <w:right w:val="none" w:sz="0" w:space="0" w:color="auto"/>
                                                  </w:divBdr>
                                                  <w:divsChild>
                                                    <w:div w:id="1796561320">
                                                      <w:marLeft w:val="0"/>
                                                      <w:marRight w:val="0"/>
                                                      <w:marTop w:val="0"/>
                                                      <w:marBottom w:val="0"/>
                                                      <w:divBdr>
                                                        <w:top w:val="none" w:sz="0" w:space="0" w:color="auto"/>
                                                        <w:left w:val="none" w:sz="0" w:space="0" w:color="auto"/>
                                                        <w:bottom w:val="none" w:sz="0" w:space="0" w:color="auto"/>
                                                        <w:right w:val="none" w:sz="0" w:space="0" w:color="auto"/>
                                                      </w:divBdr>
                                                      <w:divsChild>
                                                        <w:div w:id="1946964950">
                                                          <w:marLeft w:val="0"/>
                                                          <w:marRight w:val="0"/>
                                                          <w:marTop w:val="0"/>
                                                          <w:marBottom w:val="0"/>
                                                          <w:divBdr>
                                                            <w:top w:val="none" w:sz="0" w:space="0" w:color="auto"/>
                                                            <w:left w:val="none" w:sz="0" w:space="0" w:color="auto"/>
                                                            <w:bottom w:val="none" w:sz="0" w:space="0" w:color="auto"/>
                                                            <w:right w:val="none" w:sz="0" w:space="0" w:color="auto"/>
                                                          </w:divBdr>
                                                        </w:div>
                                                      </w:divsChild>
                                                    </w:div>
                                                    <w:div w:id="356007001">
                                                      <w:marLeft w:val="0"/>
                                                      <w:marRight w:val="0"/>
                                                      <w:marTop w:val="0"/>
                                                      <w:marBottom w:val="0"/>
                                                      <w:divBdr>
                                                        <w:top w:val="none" w:sz="0" w:space="0" w:color="auto"/>
                                                        <w:left w:val="none" w:sz="0" w:space="0" w:color="auto"/>
                                                        <w:bottom w:val="none" w:sz="0" w:space="0" w:color="auto"/>
                                                        <w:right w:val="none" w:sz="0" w:space="0" w:color="auto"/>
                                                      </w:divBdr>
                                                      <w:divsChild>
                                                        <w:div w:id="5654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289">
                                                  <w:marLeft w:val="0"/>
                                                  <w:marRight w:val="0"/>
                                                  <w:marTop w:val="0"/>
                                                  <w:marBottom w:val="0"/>
                                                  <w:divBdr>
                                                    <w:top w:val="none" w:sz="0" w:space="0" w:color="auto"/>
                                                    <w:left w:val="none" w:sz="0" w:space="0" w:color="auto"/>
                                                    <w:bottom w:val="none" w:sz="0" w:space="0" w:color="auto"/>
                                                    <w:right w:val="none" w:sz="0" w:space="0" w:color="auto"/>
                                                  </w:divBdr>
                                                  <w:divsChild>
                                                    <w:div w:id="273446710">
                                                      <w:marLeft w:val="0"/>
                                                      <w:marRight w:val="0"/>
                                                      <w:marTop w:val="0"/>
                                                      <w:marBottom w:val="0"/>
                                                      <w:divBdr>
                                                        <w:top w:val="none" w:sz="0" w:space="0" w:color="auto"/>
                                                        <w:left w:val="none" w:sz="0" w:space="0" w:color="auto"/>
                                                        <w:bottom w:val="none" w:sz="0" w:space="0" w:color="auto"/>
                                                        <w:right w:val="none" w:sz="0" w:space="0" w:color="auto"/>
                                                      </w:divBdr>
                                                      <w:divsChild>
                                                        <w:div w:id="889417396">
                                                          <w:marLeft w:val="0"/>
                                                          <w:marRight w:val="0"/>
                                                          <w:marTop w:val="0"/>
                                                          <w:marBottom w:val="0"/>
                                                          <w:divBdr>
                                                            <w:top w:val="none" w:sz="0" w:space="0" w:color="auto"/>
                                                            <w:left w:val="none" w:sz="0" w:space="0" w:color="auto"/>
                                                            <w:bottom w:val="none" w:sz="0" w:space="0" w:color="auto"/>
                                                            <w:right w:val="none" w:sz="0" w:space="0" w:color="auto"/>
                                                          </w:divBdr>
                                                        </w:div>
                                                      </w:divsChild>
                                                    </w:div>
                                                    <w:div w:id="901791110">
                                                      <w:marLeft w:val="0"/>
                                                      <w:marRight w:val="0"/>
                                                      <w:marTop w:val="0"/>
                                                      <w:marBottom w:val="0"/>
                                                      <w:divBdr>
                                                        <w:top w:val="none" w:sz="0" w:space="0" w:color="auto"/>
                                                        <w:left w:val="none" w:sz="0" w:space="0" w:color="auto"/>
                                                        <w:bottom w:val="none" w:sz="0" w:space="0" w:color="auto"/>
                                                        <w:right w:val="none" w:sz="0" w:space="0" w:color="auto"/>
                                                      </w:divBdr>
                                                      <w:divsChild>
                                                        <w:div w:id="2692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30267">
                                                  <w:marLeft w:val="0"/>
                                                  <w:marRight w:val="0"/>
                                                  <w:marTop w:val="0"/>
                                                  <w:marBottom w:val="0"/>
                                                  <w:divBdr>
                                                    <w:top w:val="none" w:sz="0" w:space="0" w:color="auto"/>
                                                    <w:left w:val="none" w:sz="0" w:space="0" w:color="auto"/>
                                                    <w:bottom w:val="none" w:sz="0" w:space="0" w:color="auto"/>
                                                    <w:right w:val="none" w:sz="0" w:space="0" w:color="auto"/>
                                                  </w:divBdr>
                                                  <w:divsChild>
                                                    <w:div w:id="860970647">
                                                      <w:marLeft w:val="0"/>
                                                      <w:marRight w:val="0"/>
                                                      <w:marTop w:val="0"/>
                                                      <w:marBottom w:val="0"/>
                                                      <w:divBdr>
                                                        <w:top w:val="none" w:sz="0" w:space="0" w:color="auto"/>
                                                        <w:left w:val="none" w:sz="0" w:space="0" w:color="auto"/>
                                                        <w:bottom w:val="none" w:sz="0" w:space="0" w:color="auto"/>
                                                        <w:right w:val="none" w:sz="0" w:space="0" w:color="auto"/>
                                                      </w:divBdr>
                                                      <w:divsChild>
                                                        <w:div w:id="390348095">
                                                          <w:marLeft w:val="0"/>
                                                          <w:marRight w:val="0"/>
                                                          <w:marTop w:val="0"/>
                                                          <w:marBottom w:val="0"/>
                                                          <w:divBdr>
                                                            <w:top w:val="none" w:sz="0" w:space="0" w:color="auto"/>
                                                            <w:left w:val="none" w:sz="0" w:space="0" w:color="auto"/>
                                                            <w:bottom w:val="none" w:sz="0" w:space="0" w:color="auto"/>
                                                            <w:right w:val="none" w:sz="0" w:space="0" w:color="auto"/>
                                                          </w:divBdr>
                                                        </w:div>
                                                      </w:divsChild>
                                                    </w:div>
                                                    <w:div w:id="574556098">
                                                      <w:marLeft w:val="0"/>
                                                      <w:marRight w:val="0"/>
                                                      <w:marTop w:val="0"/>
                                                      <w:marBottom w:val="0"/>
                                                      <w:divBdr>
                                                        <w:top w:val="none" w:sz="0" w:space="0" w:color="auto"/>
                                                        <w:left w:val="none" w:sz="0" w:space="0" w:color="auto"/>
                                                        <w:bottom w:val="none" w:sz="0" w:space="0" w:color="auto"/>
                                                        <w:right w:val="none" w:sz="0" w:space="0" w:color="auto"/>
                                                      </w:divBdr>
                                                      <w:divsChild>
                                                        <w:div w:id="20583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097003">
                                      <w:marLeft w:val="0"/>
                                      <w:marRight w:val="0"/>
                                      <w:marTop w:val="0"/>
                                      <w:marBottom w:val="0"/>
                                      <w:divBdr>
                                        <w:top w:val="none" w:sz="0" w:space="0" w:color="auto"/>
                                        <w:left w:val="none" w:sz="0" w:space="0" w:color="auto"/>
                                        <w:bottom w:val="none" w:sz="0" w:space="0" w:color="auto"/>
                                        <w:right w:val="none" w:sz="0" w:space="0" w:color="auto"/>
                                      </w:divBdr>
                                      <w:divsChild>
                                        <w:div w:id="206610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282671">
          <w:marLeft w:val="0"/>
          <w:marRight w:val="0"/>
          <w:marTop w:val="0"/>
          <w:marBottom w:val="0"/>
          <w:divBdr>
            <w:top w:val="none" w:sz="0" w:space="0" w:color="auto"/>
            <w:left w:val="none" w:sz="0" w:space="0" w:color="auto"/>
            <w:bottom w:val="none" w:sz="0" w:space="0" w:color="auto"/>
            <w:right w:val="none" w:sz="0" w:space="0" w:color="auto"/>
          </w:divBdr>
          <w:divsChild>
            <w:div w:id="114715805">
              <w:marLeft w:val="1200"/>
              <w:marRight w:val="0"/>
              <w:marTop w:val="0"/>
              <w:marBottom w:val="0"/>
              <w:divBdr>
                <w:top w:val="none" w:sz="0" w:space="0" w:color="auto"/>
                <w:left w:val="none" w:sz="0" w:space="0" w:color="auto"/>
                <w:bottom w:val="none" w:sz="0" w:space="0" w:color="auto"/>
                <w:right w:val="none" w:sz="0" w:space="0" w:color="auto"/>
              </w:divBdr>
              <w:divsChild>
                <w:div w:id="1411731368">
                  <w:marLeft w:val="0"/>
                  <w:marRight w:val="0"/>
                  <w:marTop w:val="0"/>
                  <w:marBottom w:val="0"/>
                  <w:divBdr>
                    <w:top w:val="none" w:sz="0" w:space="0" w:color="auto"/>
                    <w:left w:val="none" w:sz="0" w:space="0" w:color="auto"/>
                    <w:bottom w:val="none" w:sz="0" w:space="0" w:color="auto"/>
                    <w:right w:val="none" w:sz="0" w:space="0" w:color="auto"/>
                  </w:divBdr>
                  <w:divsChild>
                    <w:div w:id="157966455">
                      <w:marLeft w:val="0"/>
                      <w:marRight w:val="0"/>
                      <w:marTop w:val="0"/>
                      <w:marBottom w:val="0"/>
                      <w:divBdr>
                        <w:top w:val="none" w:sz="0" w:space="0" w:color="auto"/>
                        <w:left w:val="none" w:sz="0" w:space="0" w:color="auto"/>
                        <w:bottom w:val="none" w:sz="0" w:space="0" w:color="auto"/>
                        <w:right w:val="none" w:sz="0" w:space="0" w:color="auto"/>
                      </w:divBdr>
                      <w:divsChild>
                        <w:div w:id="1340623594">
                          <w:marLeft w:val="0"/>
                          <w:marRight w:val="0"/>
                          <w:marTop w:val="0"/>
                          <w:marBottom w:val="0"/>
                          <w:divBdr>
                            <w:top w:val="none" w:sz="0" w:space="0" w:color="auto"/>
                            <w:left w:val="none" w:sz="0" w:space="0" w:color="auto"/>
                            <w:bottom w:val="none" w:sz="0" w:space="0" w:color="auto"/>
                            <w:right w:val="none" w:sz="0" w:space="0" w:color="auto"/>
                          </w:divBdr>
                          <w:divsChild>
                            <w:div w:id="697050553">
                              <w:marLeft w:val="0"/>
                              <w:marRight w:val="0"/>
                              <w:marTop w:val="0"/>
                              <w:marBottom w:val="0"/>
                              <w:divBdr>
                                <w:top w:val="none" w:sz="0" w:space="0" w:color="auto"/>
                                <w:left w:val="none" w:sz="0" w:space="0" w:color="auto"/>
                                <w:bottom w:val="none" w:sz="0" w:space="0" w:color="auto"/>
                                <w:right w:val="none" w:sz="0" w:space="0" w:color="auto"/>
                              </w:divBdr>
                              <w:divsChild>
                                <w:div w:id="535045180">
                                  <w:marLeft w:val="0"/>
                                  <w:marRight w:val="0"/>
                                  <w:marTop w:val="0"/>
                                  <w:marBottom w:val="0"/>
                                  <w:divBdr>
                                    <w:top w:val="none" w:sz="0" w:space="0" w:color="auto"/>
                                    <w:left w:val="none" w:sz="0" w:space="0" w:color="auto"/>
                                    <w:bottom w:val="none" w:sz="0" w:space="0" w:color="auto"/>
                                    <w:right w:val="none" w:sz="0" w:space="0" w:color="auto"/>
                                  </w:divBdr>
                                  <w:divsChild>
                                    <w:div w:id="1469514808">
                                      <w:marLeft w:val="0"/>
                                      <w:marRight w:val="0"/>
                                      <w:marTop w:val="0"/>
                                      <w:marBottom w:val="0"/>
                                      <w:divBdr>
                                        <w:top w:val="none" w:sz="0" w:space="0" w:color="auto"/>
                                        <w:left w:val="none" w:sz="0" w:space="0" w:color="auto"/>
                                        <w:bottom w:val="none" w:sz="0" w:space="0" w:color="auto"/>
                                        <w:right w:val="none" w:sz="0" w:space="0" w:color="auto"/>
                                      </w:divBdr>
                                      <w:divsChild>
                                        <w:div w:id="2065131482">
                                          <w:marLeft w:val="0"/>
                                          <w:marRight w:val="0"/>
                                          <w:marTop w:val="30"/>
                                          <w:marBottom w:val="0"/>
                                          <w:divBdr>
                                            <w:top w:val="none" w:sz="0" w:space="0" w:color="auto"/>
                                            <w:left w:val="none" w:sz="0" w:space="0" w:color="auto"/>
                                            <w:bottom w:val="none" w:sz="0" w:space="0" w:color="auto"/>
                                            <w:right w:val="none" w:sz="0" w:space="0" w:color="auto"/>
                                          </w:divBdr>
                                        </w:div>
                                        <w:div w:id="1544243868">
                                          <w:marLeft w:val="0"/>
                                          <w:marRight w:val="0"/>
                                          <w:marTop w:val="0"/>
                                          <w:marBottom w:val="0"/>
                                          <w:divBdr>
                                            <w:top w:val="none" w:sz="0" w:space="0" w:color="auto"/>
                                            <w:left w:val="none" w:sz="0" w:space="0" w:color="auto"/>
                                            <w:bottom w:val="none" w:sz="0" w:space="0" w:color="auto"/>
                                            <w:right w:val="none" w:sz="0" w:space="0" w:color="auto"/>
                                          </w:divBdr>
                                          <w:divsChild>
                                            <w:div w:id="1336685340">
                                              <w:marLeft w:val="0"/>
                                              <w:marRight w:val="0"/>
                                              <w:marTop w:val="0"/>
                                              <w:marBottom w:val="0"/>
                                              <w:divBdr>
                                                <w:top w:val="none" w:sz="0" w:space="0" w:color="auto"/>
                                                <w:left w:val="none" w:sz="0" w:space="0" w:color="auto"/>
                                                <w:bottom w:val="none" w:sz="0" w:space="0" w:color="auto"/>
                                                <w:right w:val="none" w:sz="0" w:space="0" w:color="auto"/>
                                              </w:divBdr>
                                              <w:divsChild>
                                                <w:div w:id="12627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27662">
                                      <w:marLeft w:val="0"/>
                                      <w:marRight w:val="0"/>
                                      <w:marTop w:val="0"/>
                                      <w:marBottom w:val="0"/>
                                      <w:divBdr>
                                        <w:top w:val="none" w:sz="0" w:space="0" w:color="auto"/>
                                        <w:left w:val="none" w:sz="0" w:space="0" w:color="auto"/>
                                        <w:bottom w:val="none" w:sz="0" w:space="0" w:color="auto"/>
                                        <w:right w:val="none" w:sz="0" w:space="0" w:color="auto"/>
                                      </w:divBdr>
                                      <w:divsChild>
                                        <w:div w:id="13805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680267">
          <w:marLeft w:val="0"/>
          <w:marRight w:val="0"/>
          <w:marTop w:val="0"/>
          <w:marBottom w:val="0"/>
          <w:divBdr>
            <w:top w:val="none" w:sz="0" w:space="0" w:color="auto"/>
            <w:left w:val="none" w:sz="0" w:space="0" w:color="auto"/>
            <w:bottom w:val="none" w:sz="0" w:space="0" w:color="auto"/>
            <w:right w:val="none" w:sz="0" w:space="0" w:color="auto"/>
          </w:divBdr>
          <w:divsChild>
            <w:div w:id="946810464">
              <w:marLeft w:val="1200"/>
              <w:marRight w:val="0"/>
              <w:marTop w:val="0"/>
              <w:marBottom w:val="0"/>
              <w:divBdr>
                <w:top w:val="none" w:sz="0" w:space="0" w:color="auto"/>
                <w:left w:val="none" w:sz="0" w:space="0" w:color="auto"/>
                <w:bottom w:val="none" w:sz="0" w:space="0" w:color="auto"/>
                <w:right w:val="none" w:sz="0" w:space="0" w:color="auto"/>
              </w:divBdr>
              <w:divsChild>
                <w:div w:id="1991320813">
                  <w:marLeft w:val="0"/>
                  <w:marRight w:val="0"/>
                  <w:marTop w:val="0"/>
                  <w:marBottom w:val="0"/>
                  <w:divBdr>
                    <w:top w:val="none" w:sz="0" w:space="0" w:color="auto"/>
                    <w:left w:val="none" w:sz="0" w:space="0" w:color="auto"/>
                    <w:bottom w:val="none" w:sz="0" w:space="0" w:color="auto"/>
                    <w:right w:val="none" w:sz="0" w:space="0" w:color="auto"/>
                  </w:divBdr>
                  <w:divsChild>
                    <w:div w:id="681126114">
                      <w:marLeft w:val="0"/>
                      <w:marRight w:val="0"/>
                      <w:marTop w:val="0"/>
                      <w:marBottom w:val="0"/>
                      <w:divBdr>
                        <w:top w:val="none" w:sz="0" w:space="0" w:color="auto"/>
                        <w:left w:val="none" w:sz="0" w:space="0" w:color="auto"/>
                        <w:bottom w:val="none" w:sz="0" w:space="0" w:color="auto"/>
                        <w:right w:val="none" w:sz="0" w:space="0" w:color="auto"/>
                      </w:divBdr>
                      <w:divsChild>
                        <w:div w:id="1020283680">
                          <w:marLeft w:val="0"/>
                          <w:marRight w:val="0"/>
                          <w:marTop w:val="0"/>
                          <w:marBottom w:val="0"/>
                          <w:divBdr>
                            <w:top w:val="none" w:sz="0" w:space="0" w:color="auto"/>
                            <w:left w:val="none" w:sz="0" w:space="0" w:color="auto"/>
                            <w:bottom w:val="none" w:sz="0" w:space="0" w:color="auto"/>
                            <w:right w:val="none" w:sz="0" w:space="0" w:color="auto"/>
                          </w:divBdr>
                          <w:divsChild>
                            <w:div w:id="1170100131">
                              <w:marLeft w:val="0"/>
                              <w:marRight w:val="0"/>
                              <w:marTop w:val="0"/>
                              <w:marBottom w:val="0"/>
                              <w:divBdr>
                                <w:top w:val="none" w:sz="0" w:space="0" w:color="auto"/>
                                <w:left w:val="none" w:sz="0" w:space="0" w:color="auto"/>
                                <w:bottom w:val="none" w:sz="0" w:space="0" w:color="auto"/>
                                <w:right w:val="none" w:sz="0" w:space="0" w:color="auto"/>
                              </w:divBdr>
                              <w:divsChild>
                                <w:div w:id="259408449">
                                  <w:marLeft w:val="0"/>
                                  <w:marRight w:val="0"/>
                                  <w:marTop w:val="0"/>
                                  <w:marBottom w:val="0"/>
                                  <w:divBdr>
                                    <w:top w:val="none" w:sz="0" w:space="0" w:color="auto"/>
                                    <w:left w:val="none" w:sz="0" w:space="0" w:color="auto"/>
                                    <w:bottom w:val="none" w:sz="0" w:space="0" w:color="auto"/>
                                    <w:right w:val="none" w:sz="0" w:space="0" w:color="auto"/>
                                  </w:divBdr>
                                  <w:divsChild>
                                    <w:div w:id="2033649578">
                                      <w:marLeft w:val="0"/>
                                      <w:marRight w:val="0"/>
                                      <w:marTop w:val="0"/>
                                      <w:marBottom w:val="0"/>
                                      <w:divBdr>
                                        <w:top w:val="none" w:sz="0" w:space="0" w:color="auto"/>
                                        <w:left w:val="none" w:sz="0" w:space="0" w:color="auto"/>
                                        <w:bottom w:val="none" w:sz="0" w:space="0" w:color="auto"/>
                                        <w:right w:val="none" w:sz="0" w:space="0" w:color="auto"/>
                                      </w:divBdr>
                                      <w:divsChild>
                                        <w:div w:id="1984700574">
                                          <w:marLeft w:val="0"/>
                                          <w:marRight w:val="0"/>
                                          <w:marTop w:val="30"/>
                                          <w:marBottom w:val="0"/>
                                          <w:divBdr>
                                            <w:top w:val="none" w:sz="0" w:space="0" w:color="auto"/>
                                            <w:left w:val="none" w:sz="0" w:space="0" w:color="auto"/>
                                            <w:bottom w:val="none" w:sz="0" w:space="0" w:color="auto"/>
                                            <w:right w:val="none" w:sz="0" w:space="0" w:color="auto"/>
                                          </w:divBdr>
                                        </w:div>
                                        <w:div w:id="841898093">
                                          <w:marLeft w:val="0"/>
                                          <w:marRight w:val="0"/>
                                          <w:marTop w:val="0"/>
                                          <w:marBottom w:val="0"/>
                                          <w:divBdr>
                                            <w:top w:val="none" w:sz="0" w:space="0" w:color="auto"/>
                                            <w:left w:val="none" w:sz="0" w:space="0" w:color="auto"/>
                                            <w:bottom w:val="none" w:sz="0" w:space="0" w:color="auto"/>
                                            <w:right w:val="none" w:sz="0" w:space="0" w:color="auto"/>
                                          </w:divBdr>
                                          <w:divsChild>
                                            <w:div w:id="1939361445">
                                              <w:marLeft w:val="0"/>
                                              <w:marRight w:val="0"/>
                                              <w:marTop w:val="0"/>
                                              <w:marBottom w:val="0"/>
                                              <w:divBdr>
                                                <w:top w:val="none" w:sz="0" w:space="0" w:color="auto"/>
                                                <w:left w:val="none" w:sz="0" w:space="0" w:color="auto"/>
                                                <w:bottom w:val="none" w:sz="0" w:space="0" w:color="auto"/>
                                                <w:right w:val="none" w:sz="0" w:space="0" w:color="auto"/>
                                              </w:divBdr>
                                              <w:divsChild>
                                                <w:div w:id="17246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hyperlink" Target="https://www.nctreasurer.com/documents/files/slgfd/memos/gasb-statement-72-fair-value-measurement-and-application/download" TargetMode="External"/><Relationship Id="rId42" Type="http://schemas.openxmlformats.org/officeDocument/2006/relationships/oleObject" Target="embeddings/Microsoft_Excel_97-2003_Worksheet9.xls"/><Relationship Id="rId47" Type="http://schemas.openxmlformats.org/officeDocument/2006/relationships/image" Target="media/image15.emf"/><Relationship Id="rId63" Type="http://schemas.openxmlformats.org/officeDocument/2006/relationships/oleObject" Target="embeddings/Microsoft_Excel_97-2003_Worksheet18.xls"/><Relationship Id="rId68" Type="http://schemas.openxmlformats.org/officeDocument/2006/relationships/image" Target="media/image25.emf"/><Relationship Id="rId84" Type="http://schemas.openxmlformats.org/officeDocument/2006/relationships/oleObject" Target="embeddings/Microsoft_Excel_97-2003_Worksheet25.xls"/><Relationship Id="rId89" Type="http://schemas.openxmlformats.org/officeDocument/2006/relationships/hyperlink" Target="https://www.nctreasurer.com/documents/files/slgfd/memos/gasb-statement-no-54-fund-balance-reporting-and-governmental-fund-type-definitions-part-2-components/download" TargetMode="External"/><Relationship Id="rId16" Type="http://schemas.openxmlformats.org/officeDocument/2006/relationships/image" Target="media/image2.png"/><Relationship Id="rId11" Type="http://schemas.openxmlformats.org/officeDocument/2006/relationships/hyperlink" Target="https://ncleg.gov/EnactedLegislation/Statutes/PDF/BySection/Chapter_159/GS_159-31.pdf" TargetMode="External"/><Relationship Id="rId32" Type="http://schemas.openxmlformats.org/officeDocument/2006/relationships/image" Target="media/image9.wmf"/><Relationship Id="rId37" Type="http://schemas.openxmlformats.org/officeDocument/2006/relationships/image" Target="media/image10.emf"/><Relationship Id="rId53" Type="http://schemas.openxmlformats.org/officeDocument/2006/relationships/image" Target="media/image18.emf"/><Relationship Id="rId58" Type="http://schemas.openxmlformats.org/officeDocument/2006/relationships/oleObject" Target="embeddings/Microsoft_Excel_97-2003_Worksheet16.xls"/><Relationship Id="rId74" Type="http://schemas.openxmlformats.org/officeDocument/2006/relationships/hyperlink" Target="https://ncleg.gov/EnactedLegislation/Statutes/PDF/BySection/Chapter_159/GS_159-29.pdf" TargetMode="External"/><Relationship Id="rId79" Type="http://schemas.openxmlformats.org/officeDocument/2006/relationships/image" Target="media/image28.emf"/><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1.emf"/><Relationship Id="rId22" Type="http://schemas.openxmlformats.org/officeDocument/2006/relationships/image" Target="media/image4.emf"/><Relationship Id="rId27" Type="http://schemas.openxmlformats.org/officeDocument/2006/relationships/oleObject" Target="embeddings/Microsoft_Excel_97-2003_Worksheet3.xls"/><Relationship Id="rId30" Type="http://schemas.openxmlformats.org/officeDocument/2006/relationships/image" Target="media/image8.wmf"/><Relationship Id="rId35" Type="http://schemas.openxmlformats.org/officeDocument/2006/relationships/hyperlink" Target="https://www.nctreasurer.com/state-and-local-government-finance-division/local-government-commission/local-fiscal-management/annual-audit/financial-statement-resources" TargetMode="External"/><Relationship Id="rId43" Type="http://schemas.openxmlformats.org/officeDocument/2006/relationships/image" Target="media/image13.emf"/><Relationship Id="rId48" Type="http://schemas.openxmlformats.org/officeDocument/2006/relationships/oleObject" Target="embeddings/Microsoft_Excel_97-2003_Worksheet11.xls"/><Relationship Id="rId56" Type="http://schemas.openxmlformats.org/officeDocument/2006/relationships/oleObject" Target="embeddings/Microsoft_Excel_97-2003_Worksheet15.xls"/><Relationship Id="rId64" Type="http://schemas.openxmlformats.org/officeDocument/2006/relationships/image" Target="media/image23.emf"/><Relationship Id="rId69" Type="http://schemas.openxmlformats.org/officeDocument/2006/relationships/oleObject" Target="embeddings/Microsoft_Excel_97-2003_Worksheet21.xls"/><Relationship Id="rId77" Type="http://schemas.openxmlformats.org/officeDocument/2006/relationships/hyperlink" Target="https://www.nctreasurer.com/documents/files/slgfd/memos/operation-and-accounting-discretely-presented-component-units-including-tourism-development/download" TargetMode="External"/><Relationship Id="rId8" Type="http://schemas.openxmlformats.org/officeDocument/2006/relationships/hyperlink" Target="https://www.nctreasurer.com/local-government-covid-19-resources" TargetMode="External"/><Relationship Id="rId51" Type="http://schemas.openxmlformats.org/officeDocument/2006/relationships/image" Target="media/image17.emf"/><Relationship Id="rId72" Type="http://schemas.openxmlformats.org/officeDocument/2006/relationships/image" Target="media/image27.emf"/><Relationship Id="rId80" Type="http://schemas.openxmlformats.org/officeDocument/2006/relationships/package" Target="embeddings/Microsoft_Excel_Worksheet.xlsx"/><Relationship Id="rId85" Type="http://schemas.openxmlformats.org/officeDocument/2006/relationships/image" Target="media/image31.emf"/><Relationship Id="rId3" Type="http://schemas.openxmlformats.org/officeDocument/2006/relationships/styles" Target="styles.xml"/><Relationship Id="rId12" Type="http://schemas.openxmlformats.org/officeDocument/2006/relationships/hyperlink" Target="https://ncleg.gov/EnactedLegislation/Statutes/PDF/BySection/Chapter_159/GS_159-30.pdf" TargetMode="External"/><Relationship Id="rId17" Type="http://schemas.openxmlformats.org/officeDocument/2006/relationships/hyperlink" Target="https://ncleg.gov/EnactedLegislation/Statutes/PDF/BySection/Chapter_159/GS_159-8.pdf" TargetMode="External"/><Relationship Id="rId25" Type="http://schemas.openxmlformats.org/officeDocument/2006/relationships/oleObject" Target="embeddings/Microsoft_Excel_97-2003_Worksheet2.xls"/><Relationship Id="rId33" Type="http://schemas.openxmlformats.org/officeDocument/2006/relationships/oleObject" Target="embeddings/Microsoft_Excel_97-2003_Worksheet6.xls"/><Relationship Id="rId38" Type="http://schemas.openxmlformats.org/officeDocument/2006/relationships/oleObject" Target="embeddings/Microsoft_Excel_97-2003_Worksheet7.xls"/><Relationship Id="rId46" Type="http://schemas.openxmlformats.org/officeDocument/2006/relationships/oleObject" Target="embeddings/Microsoft_Excel_97-2003_Worksheet10.xls"/><Relationship Id="rId59" Type="http://schemas.openxmlformats.org/officeDocument/2006/relationships/hyperlink" Target="https://www.nctreasurer.com/documents/files/slgfdlgc/firefighters-and-rescue-squad-workers-pension-fund-disclosure-amounts-0/download" TargetMode="External"/><Relationship Id="rId67" Type="http://schemas.openxmlformats.org/officeDocument/2006/relationships/oleObject" Target="embeddings/Microsoft_Excel_97-2003_Worksheet20.xls"/><Relationship Id="rId20" Type="http://schemas.openxmlformats.org/officeDocument/2006/relationships/hyperlink" Target="https://ncleg.gov/EnactedLegislation/Statutes/PDF/BySection/Chapter_159/GS_159-29.pdf" TargetMode="External"/><Relationship Id="rId41" Type="http://schemas.openxmlformats.org/officeDocument/2006/relationships/image" Target="media/image12.emf"/><Relationship Id="rId54" Type="http://schemas.openxmlformats.org/officeDocument/2006/relationships/oleObject" Target="embeddings/Microsoft_Excel_97-2003_Worksheet14.xls"/><Relationship Id="rId62" Type="http://schemas.openxmlformats.org/officeDocument/2006/relationships/image" Target="media/image22.emf"/><Relationship Id="rId70" Type="http://schemas.openxmlformats.org/officeDocument/2006/relationships/image" Target="media/image26.emf"/><Relationship Id="rId75" Type="http://schemas.openxmlformats.org/officeDocument/2006/relationships/hyperlink" Target="https://www.nctreasurer.com/documents/files/slgfdlgc/revised-fidelity-bond-requirements-and-other-modifications-gs-159-29/download" TargetMode="External"/><Relationship Id="rId83" Type="http://schemas.openxmlformats.org/officeDocument/2006/relationships/image" Target="media/image30.wmf"/><Relationship Id="rId88" Type="http://schemas.openxmlformats.org/officeDocument/2006/relationships/oleObject" Target="embeddings/Microsoft_Excel_97-2003_Worksheet26.xls"/><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Excel_97-2003_Worksheet.xls"/><Relationship Id="rId23" Type="http://schemas.openxmlformats.org/officeDocument/2006/relationships/oleObject" Target="embeddings/Microsoft_Excel_97-2003_Worksheet1.xls"/><Relationship Id="rId28" Type="http://schemas.openxmlformats.org/officeDocument/2006/relationships/image" Target="media/image7.wmf"/><Relationship Id="rId36" Type="http://schemas.openxmlformats.org/officeDocument/2006/relationships/hyperlink" Target="https://www.nctreasurer.com/documents/files/slgfdlgc/firefighters-and-rescue-squad-workers-pension-fund-disclosure-amounts-0/download" TargetMode="External"/><Relationship Id="rId49" Type="http://schemas.openxmlformats.org/officeDocument/2006/relationships/image" Target="media/image16.emf"/><Relationship Id="rId57" Type="http://schemas.openxmlformats.org/officeDocument/2006/relationships/image" Target="media/image20.emf"/><Relationship Id="rId10" Type="http://schemas.openxmlformats.org/officeDocument/2006/relationships/hyperlink" Target="https://ncleg.gov/EnactedLegislation/Statutes/PDF/BySection/Chapter_159/GS_159-13.pdf" TargetMode="External"/><Relationship Id="rId31" Type="http://schemas.openxmlformats.org/officeDocument/2006/relationships/oleObject" Target="embeddings/Microsoft_Excel_97-2003_Worksheet5.xls"/><Relationship Id="rId44" Type="http://schemas.openxmlformats.org/officeDocument/2006/relationships/hyperlink" Target="https://www.osc.nc.gov/reports" TargetMode="External"/><Relationship Id="rId52" Type="http://schemas.openxmlformats.org/officeDocument/2006/relationships/oleObject" Target="embeddings/Microsoft_Excel_97-2003_Worksheet13.xls"/><Relationship Id="rId60" Type="http://schemas.openxmlformats.org/officeDocument/2006/relationships/image" Target="media/image21.emf"/><Relationship Id="rId65" Type="http://schemas.openxmlformats.org/officeDocument/2006/relationships/oleObject" Target="embeddings/Microsoft_Excel_97-2003_Worksheet19.xls"/><Relationship Id="rId73" Type="http://schemas.openxmlformats.org/officeDocument/2006/relationships/oleObject" Target="embeddings/Microsoft_Excel_97-2003_Worksheet23.xls"/><Relationship Id="rId78" Type="http://schemas.openxmlformats.org/officeDocument/2006/relationships/hyperlink" Target="https://www.nctreasurer.com/documents/files/slgfd/memos/operation-and-accounting-discretely-presented-component-units-including-tourism-development/download" TargetMode="External"/><Relationship Id="rId81" Type="http://schemas.openxmlformats.org/officeDocument/2006/relationships/image" Target="media/image29.wmf"/><Relationship Id="rId86"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hyperlink" Target="https://www.nctreasurer.com/documents/files/slgfd/memos/gasb-statement-no-84-and-gasb-statement-97/download" TargetMode="External"/><Relationship Id="rId13" Type="http://schemas.openxmlformats.org/officeDocument/2006/relationships/hyperlink" Target="https://www.nctreasurer.com/documents/files/slgfdlgc/retirement-and-investment-disclosures-fiscal-year-ended-june-30-2024/download" TargetMode="External"/><Relationship Id="rId18" Type="http://schemas.openxmlformats.org/officeDocument/2006/relationships/hyperlink" Target="https://ncleg.gov/EnactedLegislation/Statutes/PDF/BySection/Chapter_159/GS_159-8.pdf" TargetMode="External"/><Relationship Id="rId39" Type="http://schemas.openxmlformats.org/officeDocument/2006/relationships/image" Target="media/image11.emf"/><Relationship Id="rId34" Type="http://schemas.openxmlformats.org/officeDocument/2006/relationships/hyperlink" Target="https://www.nctreasurer.com/state-and-local-government-finance-division/local-government-commission/local-fiscal-management/annual-audit/financial-statement-resources" TargetMode="External"/><Relationship Id="rId50" Type="http://schemas.openxmlformats.org/officeDocument/2006/relationships/oleObject" Target="embeddings/Microsoft_Excel_97-2003_Worksheet12.xls"/><Relationship Id="rId55" Type="http://schemas.openxmlformats.org/officeDocument/2006/relationships/image" Target="media/image19.emf"/><Relationship Id="rId76" Type="http://schemas.openxmlformats.org/officeDocument/2006/relationships/hyperlink" Target="Memo%202023-06%20-%20https://www.nctreasurer.com/documents/files/slgfdlgc/revised-fidelity-bond-requirements-and-other-modifications-gs-159-29/download%20%20%20%20and%20Other%20Modifications%20to%20GS%20159-29" TargetMode="External"/><Relationship Id="rId7" Type="http://schemas.openxmlformats.org/officeDocument/2006/relationships/endnotes" Target="endnotes.xml"/><Relationship Id="rId71" Type="http://schemas.openxmlformats.org/officeDocument/2006/relationships/oleObject" Target="embeddings/Microsoft_Excel_97-2003_Worksheet22.xls"/><Relationship Id="rId2" Type="http://schemas.openxmlformats.org/officeDocument/2006/relationships/numbering" Target="numbering.xml"/><Relationship Id="rId29" Type="http://schemas.openxmlformats.org/officeDocument/2006/relationships/oleObject" Target="embeddings/Microsoft_Excel_97-2003_Worksheet4.xls"/><Relationship Id="rId24" Type="http://schemas.openxmlformats.org/officeDocument/2006/relationships/image" Target="media/image5.wmf"/><Relationship Id="rId40" Type="http://schemas.openxmlformats.org/officeDocument/2006/relationships/oleObject" Target="embeddings/Microsoft_Excel_97-2003_Worksheet8.xls"/><Relationship Id="rId45" Type="http://schemas.openxmlformats.org/officeDocument/2006/relationships/image" Target="media/image14.emf"/><Relationship Id="rId66" Type="http://schemas.openxmlformats.org/officeDocument/2006/relationships/image" Target="media/image24.emf"/><Relationship Id="rId87" Type="http://schemas.openxmlformats.org/officeDocument/2006/relationships/image" Target="media/image32.wmf"/><Relationship Id="rId61" Type="http://schemas.openxmlformats.org/officeDocument/2006/relationships/oleObject" Target="embeddings/Microsoft_Excel_97-2003_Worksheet17.xls"/><Relationship Id="rId82" Type="http://schemas.openxmlformats.org/officeDocument/2006/relationships/oleObject" Target="embeddings/Microsoft_Excel_97-2003_Worksheet24.xls"/><Relationship Id="rId1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2900-DDE2-4440-960D-2014F34E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61</Pages>
  <Words>19062</Words>
  <Characters>108655</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Milam</dc:creator>
  <cp:keywords/>
  <dc:description/>
  <cp:lastModifiedBy>Hope McCullough</cp:lastModifiedBy>
  <cp:revision>102</cp:revision>
  <cp:lastPrinted>2022-07-26T14:54:00Z</cp:lastPrinted>
  <dcterms:created xsi:type="dcterms:W3CDTF">2024-10-24T18:57:00Z</dcterms:created>
  <dcterms:modified xsi:type="dcterms:W3CDTF">2024-11-13T18:39:00Z</dcterms:modified>
</cp:coreProperties>
</file>