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60" w:type="dxa"/>
        <w:tblInd w:w="-150" w:type="dxa"/>
        <w:tblBorders>
          <w:top w:val="thinThickThinSmallGap" w:sz="24" w:space="0" w:color="auto"/>
          <w:left w:val="thinThickThinSmallGap" w:sz="24" w:space="0" w:color="auto"/>
          <w:bottom w:val="thinThickThinSmallGap" w:sz="24" w:space="0" w:color="auto"/>
          <w:right w:val="thinThickThinSmallGap" w:sz="24" w:space="0" w:color="auto"/>
          <w:insideH w:val="thinThickThinSmallGap" w:sz="24" w:space="0" w:color="auto"/>
          <w:insideV w:val="thinThickThinSmallGap" w:sz="24" w:space="0" w:color="auto"/>
        </w:tblBorders>
        <w:tblLook w:val="0000" w:firstRow="0" w:lastRow="0" w:firstColumn="0" w:lastColumn="0" w:noHBand="0" w:noVBand="0"/>
      </w:tblPr>
      <w:tblGrid>
        <w:gridCol w:w="10260"/>
      </w:tblGrid>
      <w:tr w:rsidR="00146C4E" w:rsidRPr="001F5C64" w14:paraId="4BF599EE" w14:textId="77777777" w:rsidTr="001300E5">
        <w:trPr>
          <w:trHeight w:val="645"/>
        </w:trPr>
        <w:tc>
          <w:tcPr>
            <w:tcW w:w="10260" w:type="dxa"/>
          </w:tcPr>
          <w:p w14:paraId="0E800C34" w14:textId="6E9A0953" w:rsidR="00155E0B" w:rsidRPr="00155E0B" w:rsidRDefault="00155E0B" w:rsidP="00155E0B">
            <w:pPr>
              <w:jc w:val="both"/>
              <w:rPr>
                <w:rFonts w:ascii="Arial" w:hAnsi="Arial" w:cs="Arial"/>
                <w:sz w:val="22"/>
                <w:szCs w:val="22"/>
              </w:rPr>
            </w:pPr>
            <w:r w:rsidRPr="00155E0B">
              <w:rPr>
                <w:rFonts w:ascii="Arial" w:hAnsi="Arial" w:cs="Arial"/>
                <w:b/>
                <w:bCs/>
                <w:sz w:val="22"/>
                <w:szCs w:val="22"/>
              </w:rPr>
              <w:t>Note to preparer</w:t>
            </w:r>
            <w:r w:rsidRPr="00155E0B">
              <w:rPr>
                <w:rFonts w:ascii="Arial" w:hAnsi="Arial" w:cs="Arial"/>
                <w:sz w:val="22"/>
                <w:szCs w:val="22"/>
              </w:rPr>
              <w:t xml:space="preserve">:  See the </w:t>
            </w:r>
            <w:hyperlink r:id="rId8" w:history="1">
              <w:r w:rsidRPr="00155E0B">
                <w:rPr>
                  <w:rStyle w:val="Hyperlink"/>
                  <w:rFonts w:ascii="Arial" w:hAnsi="Arial" w:cs="Arial"/>
                  <w:sz w:val="22"/>
                  <w:szCs w:val="22"/>
                </w:rPr>
                <w:t>Audit Opinion Resources</w:t>
              </w:r>
            </w:hyperlink>
            <w:r w:rsidRPr="00155E0B">
              <w:rPr>
                <w:rFonts w:ascii="Arial" w:hAnsi="Arial" w:cs="Arial"/>
                <w:sz w:val="22"/>
                <w:szCs w:val="22"/>
              </w:rPr>
              <w:t xml:space="preserve"> for various opinion letter examples. These samples are written to cover as many conditions and situations as possible. Please note that the opinion letter above was customized for Carolina </w:t>
            </w:r>
            <w:r w:rsidR="002E6A78" w:rsidRPr="00155E0B">
              <w:rPr>
                <w:rFonts w:ascii="Arial" w:hAnsi="Arial" w:cs="Arial"/>
                <w:sz w:val="22"/>
                <w:szCs w:val="22"/>
              </w:rPr>
              <w:t>County,</w:t>
            </w:r>
            <w:r w:rsidRPr="00155E0B">
              <w:rPr>
                <w:rFonts w:ascii="Arial" w:hAnsi="Arial" w:cs="Arial"/>
                <w:sz w:val="22"/>
                <w:szCs w:val="22"/>
              </w:rPr>
              <w:t xml:space="preserve"> which has t</w:t>
            </w:r>
            <w:r w:rsidR="00D63BCA">
              <w:rPr>
                <w:rFonts w:ascii="Arial" w:hAnsi="Arial" w:cs="Arial"/>
                <w:sz w:val="22"/>
                <w:szCs w:val="22"/>
              </w:rPr>
              <w:t>hree</w:t>
            </w:r>
            <w:r w:rsidRPr="00155E0B">
              <w:rPr>
                <w:rFonts w:ascii="Arial" w:hAnsi="Arial" w:cs="Arial"/>
                <w:sz w:val="22"/>
                <w:szCs w:val="22"/>
              </w:rPr>
              <w:t xml:space="preserve"> discretely presented component units (approximately 98% of opinion unit) audited by other auditors.  This example assumes that the Carolina County Tourism Development Authority, which in this example did not choose to issue separate GAAP financial statements, was audited by the same auditors as the primary government.  If less than 100% of an opinion unit was audited by another auditor and the auditor chooses not to take responsibility of that opinion, a sentence defining the percentage of the opinion unit not audited by the group auditor should be disclosed in the Auditor’s Responsibility paragraph. For additional guidance related to treatment of Tourism Development Authorities, refer to </w:t>
            </w:r>
            <w:hyperlink r:id="rId9" w:history="1">
              <w:r w:rsidRPr="00155E0B">
                <w:rPr>
                  <w:rStyle w:val="Hyperlink"/>
                  <w:rFonts w:ascii="Arial" w:hAnsi="Arial" w:cs="Arial"/>
                  <w:sz w:val="22"/>
                  <w:szCs w:val="22"/>
                </w:rPr>
                <w:t>Memorandum # 2014-08</w:t>
              </w:r>
            </w:hyperlink>
            <w:r w:rsidRPr="00155E0B">
              <w:rPr>
                <w:rFonts w:ascii="Arial" w:hAnsi="Arial" w:cs="Arial"/>
                <w:sz w:val="22"/>
                <w:szCs w:val="22"/>
              </w:rPr>
              <w:t xml:space="preserve"> on our website. </w:t>
            </w:r>
          </w:p>
          <w:p w14:paraId="59F2A01F" w14:textId="2834D946" w:rsidR="00146C4E" w:rsidRPr="001F5C64" w:rsidRDefault="00146C4E" w:rsidP="00AC22B3">
            <w:pPr>
              <w:keepLines/>
              <w:jc w:val="both"/>
              <w:rPr>
                <w:rFonts w:ascii="Century Schoolbook" w:hAnsi="Century Schoolbook"/>
                <w:sz w:val="22"/>
                <w:szCs w:val="22"/>
              </w:rPr>
            </w:pPr>
          </w:p>
        </w:tc>
      </w:tr>
    </w:tbl>
    <w:p w14:paraId="1862AB7D" w14:textId="048AE248" w:rsidR="00146C4E" w:rsidRDefault="00146C4E" w:rsidP="00146C4E">
      <w:pPr>
        <w:jc w:val="both"/>
        <w:rPr>
          <w:rFonts w:ascii="Arial" w:hAnsi="Arial" w:cs="Arial"/>
          <w:bCs/>
          <w:i/>
          <w:sz w:val="22"/>
          <w:szCs w:val="22"/>
        </w:rPr>
      </w:pPr>
    </w:p>
    <w:p w14:paraId="43AD13ED" w14:textId="77777777" w:rsidR="00ED7F43" w:rsidRDefault="00ED7F43" w:rsidP="00ED7F43">
      <w:pPr>
        <w:jc w:val="both"/>
        <w:rPr>
          <w:rFonts w:ascii="Arial" w:hAnsi="Arial" w:cs="Arial"/>
          <w:i/>
          <w:sz w:val="22"/>
          <w:szCs w:val="22"/>
        </w:rPr>
      </w:pPr>
    </w:p>
    <w:tbl>
      <w:tblPr>
        <w:tblStyle w:val="TableGrid"/>
        <w:tblW w:w="10350" w:type="dxa"/>
        <w:tblInd w:w="-150" w:type="dxa"/>
        <w:tblBorders>
          <w:top w:val="thinThickThinSmallGap" w:sz="24" w:space="0" w:color="auto"/>
          <w:left w:val="thinThickThinSmallGap" w:sz="24" w:space="0" w:color="auto"/>
          <w:bottom w:val="thinThickThinSmallGap" w:sz="24" w:space="0" w:color="auto"/>
          <w:right w:val="thinThickThinSmallGap" w:sz="24" w:space="0" w:color="auto"/>
          <w:insideH w:val="thinThickThinSmallGap" w:sz="24" w:space="0" w:color="auto"/>
          <w:insideV w:val="thinThickThinSmallGap" w:sz="24" w:space="0" w:color="auto"/>
        </w:tblBorders>
        <w:tblLook w:val="04A0" w:firstRow="1" w:lastRow="0" w:firstColumn="1" w:lastColumn="0" w:noHBand="0" w:noVBand="1"/>
      </w:tblPr>
      <w:tblGrid>
        <w:gridCol w:w="10350"/>
      </w:tblGrid>
      <w:tr w:rsidR="00ED7F43" w14:paraId="42B78320" w14:textId="77777777" w:rsidTr="001300E5">
        <w:trPr>
          <w:trHeight w:val="2022"/>
        </w:trPr>
        <w:tc>
          <w:tcPr>
            <w:tcW w:w="10350" w:type="dxa"/>
          </w:tcPr>
          <w:p w14:paraId="61E253D8" w14:textId="6986CAC5" w:rsidR="00ED7F43" w:rsidRDefault="00ED7F43" w:rsidP="00AC22B3">
            <w:pPr>
              <w:jc w:val="both"/>
              <w:rPr>
                <w:rFonts w:ascii="Arial" w:hAnsi="Arial" w:cs="Arial"/>
                <w:iCs/>
                <w:sz w:val="22"/>
                <w:szCs w:val="22"/>
              </w:rPr>
            </w:pPr>
            <w:r w:rsidRPr="00074306">
              <w:rPr>
                <w:rFonts w:ascii="Arial" w:hAnsi="Arial" w:cs="Arial"/>
                <w:b/>
                <w:bCs/>
                <w:sz w:val="22"/>
                <w:szCs w:val="22"/>
              </w:rPr>
              <w:t xml:space="preserve">Emphasis of Matter paragraph:  </w:t>
            </w:r>
            <w:r w:rsidRPr="00074306">
              <w:rPr>
                <w:rFonts w:ascii="Arial" w:hAnsi="Arial" w:cs="Arial"/>
                <w:sz w:val="22"/>
                <w:szCs w:val="22"/>
              </w:rPr>
              <w:t xml:space="preserve">If required by GAAS or the auditor considers it necessary to draw users' attention to a matter appropriately presented or disclosed in the financial statements that, in the auditor's professional judgment, is of such importance that it is fundamental to users' understanding of the financial statements, the auditor should refer to AU-C 706 and include an emphasis-of-matter paragraph in the auditor's report, provided that the matter does not result in an modified opinion.  Circumstances in which the paragraph is necessary is 1) uncertainty related to future outcome of unusually important legislation or regulatory action, 2) significant subsequent event, 3) a major catastrophe that </w:t>
            </w:r>
            <w:r w:rsidR="002E6A78" w:rsidRPr="00074306">
              <w:rPr>
                <w:rFonts w:ascii="Arial" w:hAnsi="Arial" w:cs="Arial"/>
                <w:sz w:val="22"/>
                <w:szCs w:val="22"/>
              </w:rPr>
              <w:t>affects</w:t>
            </w:r>
            <w:r w:rsidRPr="00074306">
              <w:rPr>
                <w:rFonts w:ascii="Arial" w:hAnsi="Arial" w:cs="Arial"/>
                <w:sz w:val="22"/>
                <w:szCs w:val="22"/>
              </w:rPr>
              <w:t xml:space="preserve"> the entity’s financial position or results of operations, or 4) significant transaction of related parties.</w:t>
            </w:r>
          </w:p>
        </w:tc>
      </w:tr>
    </w:tbl>
    <w:p w14:paraId="152E2D8E" w14:textId="77777777" w:rsidR="00ED7F43" w:rsidRDefault="00ED7F43" w:rsidP="00ED7F43">
      <w:pPr>
        <w:jc w:val="both"/>
        <w:rPr>
          <w:rFonts w:ascii="Arial" w:hAnsi="Arial" w:cs="Arial"/>
          <w:iCs/>
          <w:sz w:val="22"/>
          <w:szCs w:val="22"/>
        </w:rPr>
      </w:pPr>
    </w:p>
    <w:p w14:paraId="27966CA4" w14:textId="77777777" w:rsidR="00ED7F43" w:rsidRPr="00074306" w:rsidRDefault="00ED7F43" w:rsidP="00ED7F43">
      <w:pPr>
        <w:jc w:val="both"/>
        <w:rPr>
          <w:rFonts w:ascii="Arial" w:hAnsi="Arial" w:cs="Arial"/>
          <w:iCs/>
          <w:sz w:val="22"/>
          <w:szCs w:val="22"/>
        </w:rPr>
      </w:pPr>
    </w:p>
    <w:p w14:paraId="50D29111" w14:textId="77777777" w:rsidR="00ED7F43" w:rsidRPr="00074306" w:rsidRDefault="00ED7F43" w:rsidP="00ED7F43">
      <w:pPr>
        <w:pBdr>
          <w:top w:val="thinThickThinSmallGap" w:sz="24" w:space="1" w:color="auto"/>
          <w:left w:val="thinThickThinSmallGap" w:sz="24" w:space="0" w:color="auto"/>
          <w:bottom w:val="thinThickThinSmallGap" w:sz="24" w:space="31" w:color="auto"/>
          <w:right w:val="thinThickThinSmallGap" w:sz="24" w:space="4" w:color="auto"/>
        </w:pBdr>
        <w:jc w:val="both"/>
        <w:rPr>
          <w:rFonts w:ascii="Arial" w:hAnsi="Arial" w:cs="Arial"/>
          <w:iCs/>
          <w:sz w:val="22"/>
          <w:szCs w:val="22"/>
        </w:rPr>
      </w:pPr>
      <w:r w:rsidRPr="00074306">
        <w:rPr>
          <w:rFonts w:ascii="Arial" w:hAnsi="Arial" w:cs="Arial"/>
          <w:b/>
          <w:bCs/>
          <w:iCs/>
          <w:sz w:val="22"/>
          <w:szCs w:val="22"/>
        </w:rPr>
        <w:t xml:space="preserve">Other Matter paragraph:  </w:t>
      </w:r>
      <w:r w:rsidRPr="00074306">
        <w:rPr>
          <w:rFonts w:ascii="Arial" w:hAnsi="Arial" w:cs="Arial"/>
          <w:iCs/>
          <w:sz w:val="22"/>
          <w:szCs w:val="22"/>
        </w:rPr>
        <w:t>If required by GAAS, or the auditor would like to refer to a matter other than those presented or disclosed in the financial statements that, in the auditor's professional judgment, is relevant to users' understanding of the audit, the auditor's responsibilities, or the auditor's report, the auditor should consult AU-C 706 and may include an “Other Matter” paragraph.  An example is if the law, regulation, or generally accepted practice may require or permit the auditor to elaborate on matters that provide further explanation of the auditor's responsibilities in the audit of the financial statements or of the auditor's report thereon.</w:t>
      </w:r>
    </w:p>
    <w:p w14:paraId="39140993" w14:textId="77777777" w:rsidR="00ED7F43" w:rsidRPr="00074306" w:rsidRDefault="00ED7F43" w:rsidP="00ED7F43">
      <w:pPr>
        <w:pBdr>
          <w:top w:val="thinThickThinSmallGap" w:sz="24" w:space="1" w:color="auto"/>
          <w:left w:val="thinThickThinSmallGap" w:sz="24" w:space="0" w:color="auto"/>
          <w:bottom w:val="thinThickThinSmallGap" w:sz="24" w:space="31" w:color="auto"/>
          <w:right w:val="thinThickThinSmallGap" w:sz="24" w:space="4" w:color="auto"/>
        </w:pBdr>
        <w:jc w:val="both"/>
        <w:rPr>
          <w:rFonts w:ascii="Arial" w:hAnsi="Arial" w:cs="Arial"/>
          <w:b/>
          <w:bCs/>
          <w:iCs/>
          <w:sz w:val="22"/>
          <w:szCs w:val="22"/>
        </w:rPr>
      </w:pPr>
    </w:p>
    <w:p w14:paraId="50C0226B" w14:textId="5A09E800" w:rsidR="00ED7F43" w:rsidRPr="00074306" w:rsidRDefault="00ED7F43" w:rsidP="00ED7F43">
      <w:pPr>
        <w:pBdr>
          <w:top w:val="thinThickThinSmallGap" w:sz="24" w:space="1" w:color="auto"/>
          <w:left w:val="thinThickThinSmallGap" w:sz="24" w:space="0" w:color="auto"/>
          <w:bottom w:val="thinThickThinSmallGap" w:sz="24" w:space="31" w:color="auto"/>
          <w:right w:val="thinThickThinSmallGap" w:sz="24" w:space="4" w:color="auto"/>
        </w:pBdr>
        <w:jc w:val="both"/>
        <w:rPr>
          <w:rFonts w:ascii="Arial" w:hAnsi="Arial" w:cs="Arial"/>
          <w:iCs/>
          <w:sz w:val="22"/>
          <w:szCs w:val="22"/>
        </w:rPr>
      </w:pPr>
      <w:r w:rsidRPr="00074306">
        <w:rPr>
          <w:rFonts w:ascii="Arial" w:hAnsi="Arial" w:cs="Arial"/>
          <w:b/>
          <w:bCs/>
          <w:iCs/>
          <w:sz w:val="22"/>
          <w:szCs w:val="22"/>
        </w:rPr>
        <w:t xml:space="preserve">Going Concern:  </w:t>
      </w:r>
      <w:r w:rsidRPr="00074306">
        <w:rPr>
          <w:rFonts w:ascii="Arial" w:hAnsi="Arial" w:cs="Arial"/>
          <w:iCs/>
          <w:sz w:val="22"/>
          <w:szCs w:val="22"/>
        </w:rPr>
        <w:t xml:space="preserve">When performing risk assessment, the auditor should consider whether there are conditions or </w:t>
      </w:r>
      <w:r w:rsidR="002E6A78" w:rsidRPr="00074306">
        <w:rPr>
          <w:rFonts w:ascii="Arial" w:hAnsi="Arial" w:cs="Arial"/>
          <w:iCs/>
          <w:sz w:val="22"/>
          <w:szCs w:val="22"/>
        </w:rPr>
        <w:t>events</w:t>
      </w:r>
      <w:r w:rsidRPr="00074306">
        <w:rPr>
          <w:rFonts w:ascii="Arial" w:hAnsi="Arial" w:cs="Arial"/>
          <w:iCs/>
          <w:sz w:val="22"/>
          <w:szCs w:val="22"/>
        </w:rPr>
        <w:t xml:space="preserve"> considered in the aggregate, that raises substantial doubt about an entity’s ability to continue as a going concern for a reasonable period of time.  If substantial doubt has been raised, the auditor should consult guidance found in AU-C 570, including discussing with management and determining if adequate note disclosures are included in the audit.  The auditor may determine that a “Substantial Doubt About the Entity’s Ability to Continue as a Going Concern” paragraph is necessary.</w:t>
      </w:r>
    </w:p>
    <w:p w14:paraId="5F179622" w14:textId="77777777" w:rsidR="00ED7F43" w:rsidRDefault="00ED7F43" w:rsidP="00146C4E">
      <w:pPr>
        <w:jc w:val="both"/>
        <w:rPr>
          <w:rFonts w:ascii="Arial" w:hAnsi="Arial" w:cs="Arial"/>
          <w:bCs/>
          <w:iCs/>
          <w:sz w:val="22"/>
          <w:szCs w:val="22"/>
        </w:rPr>
      </w:pPr>
    </w:p>
    <w:p w14:paraId="12966F05" w14:textId="77777777" w:rsidR="003240D2" w:rsidRDefault="003240D2" w:rsidP="00146C4E">
      <w:pPr>
        <w:jc w:val="both"/>
        <w:rPr>
          <w:rFonts w:ascii="Arial" w:hAnsi="Arial" w:cs="Arial"/>
          <w:bCs/>
          <w:iCs/>
          <w:sz w:val="22"/>
          <w:szCs w:val="22"/>
        </w:rPr>
      </w:pPr>
    </w:p>
    <w:p w14:paraId="211E459A" w14:textId="77777777" w:rsidR="003240D2" w:rsidRDefault="003240D2" w:rsidP="003240D2">
      <w:pPr>
        <w:pStyle w:val="Title"/>
        <w:rPr>
          <w:rFonts w:ascii="Arial" w:hAnsi="Arial" w:cs="Arial"/>
        </w:rPr>
      </w:pPr>
      <w:bookmarkStart w:id="0" w:name="_Hlk106882429"/>
    </w:p>
    <w:p w14:paraId="20605F1A" w14:textId="77777777" w:rsidR="003240D2" w:rsidRDefault="003240D2" w:rsidP="003240D2">
      <w:pPr>
        <w:pStyle w:val="Title"/>
        <w:rPr>
          <w:rFonts w:ascii="Arial" w:hAnsi="Arial" w:cs="Arial"/>
        </w:rPr>
      </w:pPr>
    </w:p>
    <w:p w14:paraId="5969E058" w14:textId="77777777" w:rsidR="003240D2" w:rsidRDefault="003240D2" w:rsidP="003240D2">
      <w:pPr>
        <w:pStyle w:val="Title"/>
        <w:rPr>
          <w:rFonts w:ascii="Arial" w:hAnsi="Arial" w:cs="Arial"/>
        </w:rPr>
      </w:pPr>
    </w:p>
    <w:p w14:paraId="52EA742B" w14:textId="77777777" w:rsidR="003240D2" w:rsidRDefault="003240D2" w:rsidP="003240D2">
      <w:pPr>
        <w:pStyle w:val="Title"/>
        <w:rPr>
          <w:rFonts w:ascii="Arial" w:hAnsi="Arial" w:cs="Arial"/>
        </w:rPr>
      </w:pPr>
    </w:p>
    <w:p w14:paraId="0C0A32E5" w14:textId="77777777" w:rsidR="003240D2" w:rsidRDefault="003240D2" w:rsidP="003240D2">
      <w:pPr>
        <w:pStyle w:val="Title"/>
        <w:rPr>
          <w:rFonts w:ascii="Arial" w:hAnsi="Arial" w:cs="Arial"/>
        </w:rPr>
      </w:pPr>
    </w:p>
    <w:p w14:paraId="415629EB" w14:textId="77777777" w:rsidR="003240D2" w:rsidRDefault="003240D2" w:rsidP="003240D2">
      <w:pPr>
        <w:pStyle w:val="Title"/>
        <w:rPr>
          <w:rFonts w:ascii="Arial" w:hAnsi="Arial" w:cs="Arial"/>
        </w:rPr>
      </w:pPr>
    </w:p>
    <w:p w14:paraId="74A23124" w14:textId="2192FCF5" w:rsidR="003240D2" w:rsidRPr="00C02903" w:rsidRDefault="003240D2" w:rsidP="003240D2">
      <w:pPr>
        <w:pStyle w:val="Title"/>
        <w:rPr>
          <w:rFonts w:ascii="Arial" w:hAnsi="Arial" w:cs="Arial"/>
        </w:rPr>
      </w:pPr>
      <w:r w:rsidRPr="00C02903">
        <w:rPr>
          <w:rFonts w:ascii="Arial" w:hAnsi="Arial" w:cs="Arial"/>
        </w:rPr>
        <w:lastRenderedPageBreak/>
        <w:t>LETTERHEAD OF INDEPENDENT AUDITOR</w:t>
      </w:r>
    </w:p>
    <w:p w14:paraId="0D442A91" w14:textId="77777777" w:rsidR="003240D2" w:rsidRPr="00C02903" w:rsidRDefault="003240D2" w:rsidP="003240D2">
      <w:pPr>
        <w:rPr>
          <w:rFonts w:ascii="Arial" w:hAnsi="Arial" w:cs="Arial"/>
          <w:sz w:val="22"/>
        </w:rPr>
      </w:pPr>
    </w:p>
    <w:p w14:paraId="0B21BEB1" w14:textId="77777777" w:rsidR="003240D2" w:rsidRPr="00C02903" w:rsidRDefault="003240D2" w:rsidP="003240D2">
      <w:pPr>
        <w:jc w:val="center"/>
        <w:rPr>
          <w:rFonts w:ascii="Arial" w:hAnsi="Arial" w:cs="Arial"/>
          <w:sz w:val="24"/>
          <w:szCs w:val="24"/>
          <w:u w:val="single"/>
        </w:rPr>
      </w:pPr>
      <w:r w:rsidRPr="00C02903">
        <w:rPr>
          <w:rFonts w:ascii="Arial" w:hAnsi="Arial" w:cs="Arial"/>
          <w:sz w:val="24"/>
          <w:szCs w:val="24"/>
          <w:u w:val="single"/>
        </w:rPr>
        <w:t>Independent Auditor’s Report</w:t>
      </w:r>
    </w:p>
    <w:p w14:paraId="289D40C1" w14:textId="77777777" w:rsidR="003240D2" w:rsidRPr="006917F4" w:rsidRDefault="003240D2" w:rsidP="003240D2">
      <w:pPr>
        <w:rPr>
          <w:rFonts w:ascii="Arial" w:hAnsi="Arial" w:cs="Arial"/>
          <w:sz w:val="22"/>
          <w:szCs w:val="22"/>
          <w:u w:val="single"/>
        </w:rPr>
      </w:pPr>
    </w:p>
    <w:p w14:paraId="33C9E549" w14:textId="77777777" w:rsidR="003240D2" w:rsidRPr="006917F4" w:rsidRDefault="003240D2" w:rsidP="003240D2">
      <w:pPr>
        <w:rPr>
          <w:rFonts w:ascii="Arial" w:hAnsi="Arial" w:cs="Arial"/>
          <w:sz w:val="22"/>
          <w:szCs w:val="22"/>
        </w:rPr>
      </w:pPr>
      <w:r w:rsidRPr="006917F4">
        <w:rPr>
          <w:rFonts w:ascii="Arial" w:hAnsi="Arial" w:cs="Arial"/>
          <w:sz w:val="22"/>
          <w:szCs w:val="22"/>
        </w:rPr>
        <w:t>To the Board of County Commissioners</w:t>
      </w:r>
    </w:p>
    <w:p w14:paraId="636DEBB2" w14:textId="77777777" w:rsidR="003240D2" w:rsidRPr="006917F4" w:rsidRDefault="003240D2" w:rsidP="003240D2">
      <w:pPr>
        <w:rPr>
          <w:rFonts w:ascii="Arial" w:hAnsi="Arial" w:cs="Arial"/>
          <w:sz w:val="22"/>
          <w:szCs w:val="22"/>
        </w:rPr>
      </w:pPr>
      <w:r w:rsidRPr="006917F4">
        <w:rPr>
          <w:rFonts w:ascii="Arial" w:hAnsi="Arial" w:cs="Arial"/>
          <w:sz w:val="22"/>
          <w:szCs w:val="22"/>
        </w:rPr>
        <w:t>Carolina County, North Carolina</w:t>
      </w:r>
    </w:p>
    <w:p w14:paraId="0AF80520" w14:textId="77777777" w:rsidR="003240D2" w:rsidRPr="006917F4" w:rsidRDefault="003240D2" w:rsidP="003240D2">
      <w:pPr>
        <w:rPr>
          <w:rFonts w:ascii="Arial" w:hAnsi="Arial" w:cs="Arial"/>
          <w:sz w:val="22"/>
          <w:szCs w:val="22"/>
        </w:rPr>
      </w:pPr>
    </w:p>
    <w:p w14:paraId="67E960F5" w14:textId="77777777" w:rsidR="003240D2" w:rsidRPr="005D1DBC" w:rsidRDefault="003240D2" w:rsidP="003240D2">
      <w:pPr>
        <w:jc w:val="both"/>
        <w:rPr>
          <w:rFonts w:ascii="Arial" w:hAnsi="Arial" w:cs="Arial"/>
          <w:b/>
          <w:sz w:val="22"/>
          <w:szCs w:val="22"/>
        </w:rPr>
      </w:pPr>
      <w:r w:rsidRPr="005D1DBC">
        <w:rPr>
          <w:rFonts w:ascii="Arial" w:hAnsi="Arial" w:cs="Arial"/>
          <w:b/>
          <w:sz w:val="22"/>
          <w:szCs w:val="22"/>
        </w:rPr>
        <w:t>Report on the Audit of Financial Statements</w:t>
      </w:r>
    </w:p>
    <w:p w14:paraId="7F398A04" w14:textId="77777777" w:rsidR="003240D2" w:rsidRPr="005D1DBC" w:rsidRDefault="003240D2" w:rsidP="003240D2">
      <w:pPr>
        <w:jc w:val="both"/>
        <w:rPr>
          <w:rFonts w:ascii="Arial" w:hAnsi="Arial" w:cs="Arial"/>
          <w:b/>
          <w:sz w:val="22"/>
          <w:szCs w:val="22"/>
        </w:rPr>
      </w:pPr>
    </w:p>
    <w:p w14:paraId="5D70B4B0" w14:textId="77777777" w:rsidR="003240D2" w:rsidRPr="006917F4" w:rsidRDefault="003240D2" w:rsidP="003240D2">
      <w:pPr>
        <w:jc w:val="both"/>
        <w:rPr>
          <w:rFonts w:ascii="Arial" w:hAnsi="Arial" w:cs="Arial"/>
          <w:b/>
          <w:sz w:val="22"/>
          <w:szCs w:val="22"/>
        </w:rPr>
      </w:pPr>
      <w:r w:rsidRPr="006917F4">
        <w:rPr>
          <w:rFonts w:ascii="Arial" w:hAnsi="Arial" w:cs="Arial"/>
          <w:b/>
          <w:i/>
          <w:sz w:val="22"/>
          <w:szCs w:val="22"/>
        </w:rPr>
        <w:t>Opinions</w:t>
      </w:r>
    </w:p>
    <w:p w14:paraId="47D099E1" w14:textId="732DEEFB" w:rsidR="003240D2" w:rsidRPr="00FD30C4" w:rsidRDefault="003240D2" w:rsidP="003240D2">
      <w:pPr>
        <w:spacing w:before="120"/>
        <w:jc w:val="both"/>
        <w:rPr>
          <w:rFonts w:ascii="Arial" w:hAnsi="Arial" w:cs="Arial"/>
          <w:sz w:val="22"/>
          <w:szCs w:val="22"/>
        </w:rPr>
      </w:pPr>
      <w:r w:rsidRPr="00FD30C4">
        <w:rPr>
          <w:rFonts w:ascii="Arial" w:hAnsi="Arial" w:cs="Arial"/>
          <w:sz w:val="22"/>
          <w:szCs w:val="22"/>
        </w:rPr>
        <w:t xml:space="preserve">We have audited the accompanying financial statements of the governmental activities, the business-type activities, the aggregate discretely presented component units, each major fund, and the aggregate remaining fund information of </w:t>
      </w:r>
      <w:bookmarkStart w:id="1" w:name="_Hlk106696489"/>
      <w:r w:rsidRPr="00FD30C4">
        <w:rPr>
          <w:rFonts w:ascii="Arial" w:hAnsi="Arial" w:cs="Arial"/>
          <w:sz w:val="22"/>
          <w:szCs w:val="22"/>
        </w:rPr>
        <w:t>Carolina County</w:t>
      </w:r>
      <w:bookmarkEnd w:id="1"/>
      <w:r w:rsidRPr="00FD30C4">
        <w:rPr>
          <w:rFonts w:ascii="Arial" w:hAnsi="Arial" w:cs="Arial"/>
          <w:sz w:val="22"/>
          <w:szCs w:val="22"/>
        </w:rPr>
        <w:t xml:space="preserve">, North Carolina, as of and for the year ended June 30, </w:t>
      </w:r>
      <w:r>
        <w:rPr>
          <w:rFonts w:ascii="Arial" w:hAnsi="Arial" w:cs="Arial"/>
          <w:sz w:val="22"/>
          <w:szCs w:val="22"/>
        </w:rPr>
        <w:t>202</w:t>
      </w:r>
      <w:r w:rsidR="002E6A78">
        <w:rPr>
          <w:rFonts w:ascii="Arial" w:hAnsi="Arial" w:cs="Arial"/>
          <w:sz w:val="22"/>
          <w:szCs w:val="22"/>
        </w:rPr>
        <w:t>6</w:t>
      </w:r>
      <w:r w:rsidRPr="00FD30C4">
        <w:rPr>
          <w:rFonts w:ascii="Arial" w:hAnsi="Arial" w:cs="Arial"/>
          <w:sz w:val="22"/>
          <w:szCs w:val="22"/>
        </w:rPr>
        <w:t xml:space="preserve"> and the related notes to the financial statements, which collectively comprise Carolina County’s basic financial statements as listed in the table of contents.</w:t>
      </w:r>
    </w:p>
    <w:p w14:paraId="28AC33B1" w14:textId="77777777" w:rsidR="003240D2" w:rsidRPr="00FD30C4" w:rsidRDefault="003240D2" w:rsidP="003240D2">
      <w:pPr>
        <w:jc w:val="both"/>
        <w:rPr>
          <w:rFonts w:ascii="Arial" w:hAnsi="Arial" w:cs="Arial"/>
          <w:sz w:val="22"/>
          <w:szCs w:val="22"/>
        </w:rPr>
      </w:pPr>
    </w:p>
    <w:p w14:paraId="7147D6CE" w14:textId="651A822E" w:rsidR="003240D2" w:rsidRPr="00FD30C4" w:rsidRDefault="003240D2" w:rsidP="003240D2">
      <w:pPr>
        <w:jc w:val="both"/>
        <w:rPr>
          <w:rFonts w:ascii="Arial" w:hAnsi="Arial" w:cs="Arial"/>
          <w:sz w:val="22"/>
          <w:szCs w:val="22"/>
        </w:rPr>
      </w:pPr>
      <w:r w:rsidRPr="00FD30C4">
        <w:rPr>
          <w:rFonts w:ascii="Arial" w:hAnsi="Arial" w:cs="Arial"/>
          <w:sz w:val="22"/>
          <w:szCs w:val="22"/>
        </w:rPr>
        <w:t xml:space="preserve">In our opinion, </w:t>
      </w:r>
      <w:r w:rsidRPr="000A4A6D">
        <w:rPr>
          <w:rFonts w:ascii="Arial" w:hAnsi="Arial" w:cs="Arial"/>
          <w:color w:val="FF0000"/>
          <w:sz w:val="22"/>
          <w:szCs w:val="22"/>
        </w:rPr>
        <w:t>based upon our audit and the report of the other auditors,</w:t>
      </w:r>
      <w:r w:rsidRPr="00FD30C4">
        <w:rPr>
          <w:rFonts w:ascii="Arial" w:hAnsi="Arial" w:cs="Arial"/>
          <w:sz w:val="22"/>
          <w:szCs w:val="22"/>
        </w:rPr>
        <w:t xml:space="preserve"> the accompanying financial statements referred to above present fairly, in all material respects, the respective financial position of the governmental activities, the business-type activities, the aggregate discretely presented component units, each major fund, and the aggregate remaining fund information of </w:t>
      </w:r>
      <w:bookmarkStart w:id="2" w:name="_Hlk106697449"/>
      <w:r w:rsidRPr="00FD30C4">
        <w:rPr>
          <w:rFonts w:ascii="Arial" w:hAnsi="Arial" w:cs="Arial"/>
          <w:sz w:val="22"/>
          <w:szCs w:val="22"/>
        </w:rPr>
        <w:t xml:space="preserve">Carolina County </w:t>
      </w:r>
      <w:bookmarkEnd w:id="2"/>
      <w:r w:rsidRPr="00FD30C4">
        <w:rPr>
          <w:rFonts w:ascii="Arial" w:hAnsi="Arial" w:cs="Arial"/>
          <w:sz w:val="22"/>
          <w:szCs w:val="22"/>
        </w:rPr>
        <w:t xml:space="preserve">as of June 30, </w:t>
      </w:r>
      <w:r>
        <w:rPr>
          <w:rFonts w:ascii="Arial" w:hAnsi="Arial" w:cs="Arial"/>
          <w:sz w:val="22"/>
          <w:szCs w:val="22"/>
        </w:rPr>
        <w:t>202</w:t>
      </w:r>
      <w:r w:rsidR="002E6A78">
        <w:rPr>
          <w:rFonts w:ascii="Arial" w:hAnsi="Arial" w:cs="Arial"/>
          <w:sz w:val="22"/>
          <w:szCs w:val="22"/>
        </w:rPr>
        <w:t>6</w:t>
      </w:r>
      <w:r w:rsidRPr="00FD30C4">
        <w:rPr>
          <w:rFonts w:ascii="Arial" w:hAnsi="Arial" w:cs="Arial"/>
          <w:sz w:val="22"/>
          <w:szCs w:val="22"/>
        </w:rPr>
        <w:t>, and the respective changes in financial position, and cash flows thereof for the year then ended in accordance with accounting principles generally accepted in the United States of America.</w:t>
      </w:r>
    </w:p>
    <w:p w14:paraId="6C087DF1" w14:textId="77777777" w:rsidR="003240D2" w:rsidRPr="00FD30C4" w:rsidRDefault="003240D2" w:rsidP="003240D2">
      <w:pPr>
        <w:jc w:val="both"/>
        <w:rPr>
          <w:rFonts w:ascii="Arial" w:hAnsi="Arial" w:cs="Arial"/>
          <w:sz w:val="22"/>
          <w:szCs w:val="22"/>
        </w:rPr>
      </w:pPr>
    </w:p>
    <w:p w14:paraId="1CD46FFA" w14:textId="569BADB9" w:rsidR="003240D2" w:rsidRPr="000A4A6D" w:rsidRDefault="003240D2" w:rsidP="003240D2">
      <w:pPr>
        <w:jc w:val="both"/>
        <w:rPr>
          <w:rFonts w:ascii="Arial" w:hAnsi="Arial" w:cs="Arial"/>
          <w:color w:val="FF0000"/>
          <w:sz w:val="22"/>
          <w:szCs w:val="22"/>
          <w:vertAlign w:val="superscript"/>
        </w:rPr>
      </w:pPr>
      <w:r w:rsidRPr="000A4A6D">
        <w:rPr>
          <w:rFonts w:ascii="Arial" w:hAnsi="Arial" w:cs="Arial"/>
          <w:color w:val="FF0000"/>
          <w:sz w:val="22"/>
          <w:szCs w:val="22"/>
        </w:rPr>
        <w:t xml:space="preserve">We did not audit the financial statements of </w:t>
      </w:r>
      <w:r w:rsidRPr="000A4A6D">
        <w:rPr>
          <w:rFonts w:ascii="Arial" w:hAnsi="Arial" w:cs="Arial"/>
          <w:bCs/>
          <w:color w:val="FF0000"/>
          <w:sz w:val="22"/>
          <w:szCs w:val="22"/>
        </w:rPr>
        <w:t>both Carolina County Hospital, Inc. and Carolina County ABC Board,</w:t>
      </w:r>
      <w:r w:rsidRPr="000A4A6D">
        <w:rPr>
          <w:rFonts w:ascii="Arial" w:hAnsi="Arial" w:cs="Arial"/>
          <w:color w:val="FF0000"/>
          <w:sz w:val="22"/>
          <w:szCs w:val="22"/>
        </w:rPr>
        <w:t xml:space="preserve"> which represent 98.4 percent, 98.2 percent, and 99.5 percent of the assets, net position, and revenues, respectively, of the aggregate, discretely presented component units as of June 30, 202</w:t>
      </w:r>
      <w:r w:rsidR="002E6A78">
        <w:rPr>
          <w:rFonts w:ascii="Arial" w:hAnsi="Arial" w:cs="Arial"/>
          <w:color w:val="FF0000"/>
          <w:sz w:val="22"/>
          <w:szCs w:val="22"/>
        </w:rPr>
        <w:t>6</w:t>
      </w:r>
      <w:r w:rsidRPr="000A4A6D">
        <w:rPr>
          <w:rFonts w:ascii="Arial" w:hAnsi="Arial" w:cs="Arial"/>
          <w:color w:val="FF0000"/>
          <w:sz w:val="22"/>
          <w:szCs w:val="22"/>
        </w:rPr>
        <w:t xml:space="preserve">, and the respective changes in financial position, and where applicable, cash flows thereof for the year then ended.  </w:t>
      </w:r>
      <w:r w:rsidRPr="000A4A6D">
        <w:rPr>
          <w:rFonts w:ascii="Arial" w:hAnsi="Arial" w:cs="Arial"/>
          <w:bCs/>
          <w:color w:val="FF0000"/>
          <w:sz w:val="22"/>
          <w:szCs w:val="22"/>
        </w:rPr>
        <w:t>Those statements were audited by other auditors whose report thereon has been furnished to us, and our opinion, insofar as it relates to the amounts included for the Carolina County Hospital, Inc. and Carolina County ABC Board, is based solely on the report of the other auditors</w:t>
      </w:r>
      <w:r w:rsidRPr="000A4A6D">
        <w:rPr>
          <w:rFonts w:ascii="Arial" w:hAnsi="Arial" w:cs="Arial"/>
          <w:color w:val="FF0000"/>
          <w:sz w:val="22"/>
          <w:szCs w:val="22"/>
        </w:rPr>
        <w:t>.</w:t>
      </w:r>
    </w:p>
    <w:p w14:paraId="1CD8932D" w14:textId="77777777" w:rsidR="003240D2" w:rsidRPr="00FD30C4" w:rsidRDefault="003240D2" w:rsidP="003240D2">
      <w:pPr>
        <w:jc w:val="both"/>
        <w:rPr>
          <w:rFonts w:ascii="Arial" w:hAnsi="Arial" w:cs="Arial"/>
          <w:sz w:val="22"/>
          <w:szCs w:val="22"/>
        </w:rPr>
      </w:pPr>
      <w:bookmarkStart w:id="3" w:name="_Hlk106882453"/>
    </w:p>
    <w:bookmarkEnd w:id="0"/>
    <w:p w14:paraId="3B92F885" w14:textId="77777777" w:rsidR="003240D2" w:rsidRPr="00FD30C4" w:rsidRDefault="003240D2" w:rsidP="003240D2">
      <w:pPr>
        <w:jc w:val="both"/>
        <w:rPr>
          <w:rFonts w:ascii="Arial" w:hAnsi="Arial" w:cs="Arial"/>
          <w:b/>
          <w:bCs/>
          <w:i/>
          <w:iCs/>
          <w:sz w:val="22"/>
          <w:szCs w:val="22"/>
        </w:rPr>
      </w:pPr>
      <w:r w:rsidRPr="00FD30C4">
        <w:rPr>
          <w:rFonts w:ascii="Arial" w:hAnsi="Arial" w:cs="Arial"/>
          <w:b/>
          <w:bCs/>
          <w:i/>
          <w:iCs/>
          <w:sz w:val="22"/>
          <w:szCs w:val="22"/>
        </w:rPr>
        <w:t>Basis for Opinions</w:t>
      </w:r>
    </w:p>
    <w:p w14:paraId="1054D19F" w14:textId="77777777" w:rsidR="003240D2" w:rsidRPr="00FD30C4" w:rsidRDefault="003240D2" w:rsidP="003240D2">
      <w:pPr>
        <w:jc w:val="both"/>
        <w:rPr>
          <w:rFonts w:ascii="Arial" w:hAnsi="Arial" w:cs="Arial"/>
          <w:sz w:val="22"/>
          <w:szCs w:val="22"/>
        </w:rPr>
      </w:pPr>
    </w:p>
    <w:p w14:paraId="20FA894B" w14:textId="77777777" w:rsidR="003240D2" w:rsidRPr="000A4A6D" w:rsidRDefault="003240D2" w:rsidP="003240D2">
      <w:pPr>
        <w:jc w:val="both"/>
        <w:rPr>
          <w:rFonts w:ascii="Arial" w:hAnsi="Arial" w:cs="Arial"/>
          <w:color w:val="9966FF"/>
          <w:sz w:val="22"/>
          <w:szCs w:val="22"/>
        </w:rPr>
      </w:pPr>
      <w:r w:rsidRPr="00FD30C4">
        <w:rPr>
          <w:rFonts w:ascii="Arial" w:hAnsi="Arial" w:cs="Arial"/>
          <w:sz w:val="22"/>
          <w:szCs w:val="22"/>
        </w:rPr>
        <w:t xml:space="preserve">We conducted our audit in accordance with auditing standards generally accepted in the United States of America (GAAS) and the standards applicable to financial audits contained in </w:t>
      </w:r>
      <w:r w:rsidRPr="00FD30C4">
        <w:rPr>
          <w:rFonts w:ascii="Arial" w:hAnsi="Arial" w:cs="Arial"/>
          <w:i/>
          <w:sz w:val="22"/>
          <w:szCs w:val="22"/>
        </w:rPr>
        <w:t>Government Auditing Standards</w:t>
      </w:r>
      <w:r w:rsidRPr="00FD30C4">
        <w:rPr>
          <w:rFonts w:ascii="Arial" w:hAnsi="Arial" w:cs="Arial"/>
          <w:sz w:val="22"/>
          <w:szCs w:val="22"/>
        </w:rPr>
        <w:t xml:space="preserve">, issued by the Comptroller General of the United States. Our responsibilities under those standards are further described in the Auditor's Responsibilities for the Audit of the Financial Statements section of our report.  We are required to be independent of Carolina County and to meet our other ethical responsibilities, in accordance with the relevant ethical requirements relating to our audit. We believe that the audit evidence we have obtained is sufficient and appropriate to provide a basis for our audit opinions.  </w:t>
      </w:r>
      <w:r w:rsidRPr="000A4A6D">
        <w:rPr>
          <w:rFonts w:ascii="Arial" w:hAnsi="Arial" w:cs="Arial"/>
          <w:color w:val="9966FF"/>
          <w:sz w:val="22"/>
          <w:szCs w:val="22"/>
        </w:rPr>
        <w:t xml:space="preserve">The financial statements of </w:t>
      </w:r>
      <w:r w:rsidRPr="000A4A6D">
        <w:rPr>
          <w:rFonts w:ascii="Arial" w:hAnsi="Arial" w:cs="Arial"/>
          <w:bCs/>
          <w:color w:val="9966FF"/>
          <w:sz w:val="22"/>
          <w:szCs w:val="22"/>
        </w:rPr>
        <w:t>Carolina County</w:t>
      </w:r>
      <w:r w:rsidRPr="000A4A6D">
        <w:rPr>
          <w:rFonts w:ascii="Arial" w:hAnsi="Arial" w:cs="Arial"/>
          <w:color w:val="9966FF"/>
          <w:sz w:val="22"/>
          <w:szCs w:val="22"/>
        </w:rPr>
        <w:t xml:space="preserve"> ABC Board were not audited in accordance with </w:t>
      </w:r>
      <w:r w:rsidRPr="000A4A6D">
        <w:rPr>
          <w:rFonts w:ascii="Arial" w:hAnsi="Arial" w:cs="Arial"/>
          <w:i/>
          <w:color w:val="9966FF"/>
          <w:sz w:val="22"/>
          <w:szCs w:val="22"/>
        </w:rPr>
        <w:t>Governmental Auditing Standards.</w:t>
      </w:r>
    </w:p>
    <w:p w14:paraId="4671D57E" w14:textId="77777777" w:rsidR="003240D2" w:rsidRPr="000A4A6D" w:rsidRDefault="003240D2" w:rsidP="003240D2">
      <w:pPr>
        <w:jc w:val="both"/>
        <w:rPr>
          <w:rFonts w:ascii="Arial" w:hAnsi="Arial" w:cs="Arial"/>
          <w:color w:val="9966FF"/>
          <w:sz w:val="22"/>
          <w:szCs w:val="22"/>
        </w:rPr>
      </w:pPr>
    </w:p>
    <w:p w14:paraId="1818150C" w14:textId="77777777" w:rsidR="003240D2" w:rsidRPr="00FD30C4" w:rsidRDefault="003240D2" w:rsidP="003240D2">
      <w:pPr>
        <w:jc w:val="both"/>
        <w:rPr>
          <w:rFonts w:ascii="Arial" w:hAnsi="Arial" w:cs="Arial"/>
          <w:b/>
          <w:i/>
          <w:sz w:val="22"/>
          <w:szCs w:val="22"/>
        </w:rPr>
      </w:pPr>
      <w:bookmarkStart w:id="4" w:name="_Hlk107492915"/>
      <w:r w:rsidRPr="00FD30C4">
        <w:rPr>
          <w:rFonts w:ascii="Arial" w:hAnsi="Arial" w:cs="Arial"/>
          <w:b/>
          <w:i/>
          <w:sz w:val="22"/>
          <w:szCs w:val="22"/>
        </w:rPr>
        <w:t>Responsibilities of Management</w:t>
      </w:r>
      <w:bookmarkEnd w:id="4"/>
      <w:r w:rsidRPr="00FD30C4">
        <w:rPr>
          <w:rFonts w:ascii="Arial" w:hAnsi="Arial" w:cs="Arial"/>
          <w:b/>
          <w:i/>
          <w:sz w:val="22"/>
          <w:szCs w:val="22"/>
        </w:rPr>
        <w:t xml:space="preserve"> for the Audit of the Financial Statements</w:t>
      </w:r>
    </w:p>
    <w:p w14:paraId="6EEC31C4" w14:textId="77777777" w:rsidR="003240D2" w:rsidRPr="006917F4" w:rsidRDefault="003240D2" w:rsidP="003240D2">
      <w:pPr>
        <w:spacing w:before="120"/>
        <w:jc w:val="both"/>
        <w:rPr>
          <w:rFonts w:ascii="Arial" w:hAnsi="Arial" w:cs="Arial"/>
          <w:sz w:val="22"/>
          <w:szCs w:val="22"/>
        </w:rPr>
      </w:pPr>
      <w:r w:rsidRPr="00FD30C4">
        <w:rPr>
          <w:rFonts w:ascii="Arial" w:hAnsi="Arial" w:cs="Arial"/>
          <w:sz w:val="22"/>
          <w:szCs w:val="22"/>
        </w:rPr>
        <w:t>Management is responsible for the preparation and fair presentation of these financial statements in accordance with accounting principles generally accepted in the United States of America; and for the design, implementation, and maintenance of internal control relevant to the preparation and fair</w:t>
      </w:r>
      <w:r w:rsidRPr="006917F4">
        <w:rPr>
          <w:rFonts w:ascii="Arial" w:hAnsi="Arial" w:cs="Arial"/>
          <w:sz w:val="22"/>
          <w:szCs w:val="22"/>
        </w:rPr>
        <w:t xml:space="preserve"> presentation of financial statements that are free from material misstatement, whether due to fraud or error. </w:t>
      </w:r>
    </w:p>
    <w:p w14:paraId="763E262F" w14:textId="77777777" w:rsidR="003240D2" w:rsidRPr="006917F4" w:rsidRDefault="003240D2" w:rsidP="003240D2">
      <w:pPr>
        <w:jc w:val="both"/>
        <w:rPr>
          <w:rFonts w:ascii="Arial" w:hAnsi="Arial" w:cs="Arial"/>
          <w:color w:val="0000FF"/>
          <w:sz w:val="22"/>
          <w:szCs w:val="22"/>
        </w:rPr>
      </w:pPr>
    </w:p>
    <w:p w14:paraId="494BCE30" w14:textId="77777777" w:rsidR="003240D2" w:rsidRPr="005D1DBC" w:rsidRDefault="003240D2" w:rsidP="003240D2">
      <w:pPr>
        <w:jc w:val="both"/>
        <w:rPr>
          <w:rFonts w:ascii="Arial" w:hAnsi="Arial" w:cs="Arial"/>
          <w:sz w:val="22"/>
          <w:szCs w:val="22"/>
        </w:rPr>
      </w:pPr>
      <w:bookmarkStart w:id="5" w:name="_Hlk106882495"/>
      <w:bookmarkEnd w:id="3"/>
      <w:r w:rsidRPr="005D1DBC">
        <w:rPr>
          <w:rFonts w:ascii="Arial" w:hAnsi="Arial" w:cs="Arial"/>
          <w:sz w:val="22"/>
          <w:szCs w:val="22"/>
        </w:rPr>
        <w:lastRenderedPageBreak/>
        <w:t xml:space="preserve">In preparing the financial statements, management is required to evaluate whether there are conditions or events, considered in the aggregate, that </w:t>
      </w:r>
      <w:r>
        <w:rPr>
          <w:rFonts w:ascii="Arial" w:hAnsi="Arial" w:cs="Arial"/>
          <w:sz w:val="22"/>
          <w:szCs w:val="22"/>
        </w:rPr>
        <w:t>raise</w:t>
      </w:r>
      <w:r w:rsidRPr="005D1DBC">
        <w:rPr>
          <w:rFonts w:ascii="Arial" w:hAnsi="Arial" w:cs="Arial"/>
          <w:sz w:val="22"/>
          <w:szCs w:val="22"/>
        </w:rPr>
        <w:t xml:space="preserve"> substantial doubt about Carolina County’s ability to continue as a going concern for the twelve months beyond the financial statement date, including any currently known information that may raise substantial doubt shortly thereafter.</w:t>
      </w:r>
    </w:p>
    <w:p w14:paraId="7C31DDAD" w14:textId="77777777" w:rsidR="003240D2" w:rsidRPr="005D1DBC" w:rsidRDefault="003240D2" w:rsidP="003240D2">
      <w:pPr>
        <w:spacing w:before="120" w:after="120"/>
        <w:jc w:val="both"/>
        <w:rPr>
          <w:rFonts w:ascii="Arial" w:hAnsi="Arial" w:cs="Arial"/>
          <w:b/>
          <w:i/>
          <w:sz w:val="22"/>
          <w:szCs w:val="22"/>
        </w:rPr>
      </w:pPr>
      <w:r w:rsidRPr="005D1DBC">
        <w:rPr>
          <w:rFonts w:ascii="Arial" w:hAnsi="Arial" w:cs="Arial"/>
          <w:b/>
          <w:i/>
          <w:sz w:val="22"/>
          <w:szCs w:val="22"/>
        </w:rPr>
        <w:t>Auditor’s Responsibilit</w:t>
      </w:r>
      <w:r>
        <w:rPr>
          <w:rFonts w:ascii="Arial" w:hAnsi="Arial" w:cs="Arial"/>
          <w:b/>
          <w:i/>
          <w:sz w:val="22"/>
          <w:szCs w:val="22"/>
        </w:rPr>
        <w:t>ies</w:t>
      </w:r>
      <w:r w:rsidRPr="005D1DBC">
        <w:rPr>
          <w:rFonts w:ascii="Arial" w:hAnsi="Arial" w:cs="Arial"/>
          <w:b/>
          <w:i/>
          <w:sz w:val="22"/>
          <w:szCs w:val="22"/>
        </w:rPr>
        <w:t xml:space="preserve"> for the Audit of the Financial Statements</w:t>
      </w:r>
    </w:p>
    <w:p w14:paraId="201238AD" w14:textId="61E112A6" w:rsidR="003240D2" w:rsidRPr="005D1DBC" w:rsidRDefault="003240D2" w:rsidP="003240D2">
      <w:pPr>
        <w:spacing w:before="120"/>
        <w:jc w:val="both"/>
        <w:rPr>
          <w:rFonts w:ascii="Arial" w:hAnsi="Arial" w:cs="Arial"/>
          <w:sz w:val="22"/>
          <w:szCs w:val="22"/>
        </w:rPr>
      </w:pPr>
      <w:r w:rsidRPr="005D1DBC">
        <w:rPr>
          <w:rFonts w:ascii="Arial" w:hAnsi="Arial" w:cs="Arial"/>
          <w:sz w:val="22"/>
          <w:szCs w:val="22"/>
        </w:rPr>
        <w:t xml:space="preserve">Our objectives are to obtain reasonable assurance about whether the financial statements as a whole are free of material misstatement, whether due to fraud or error, and to issue an auditor’s report that includes our opinions.  Reasonable assurance is a high level of assurance but is not absolute assurance and therefore is not a guarantee that an audit conducted in accordance with GAAS and </w:t>
      </w:r>
      <w:r w:rsidRPr="005D1DBC">
        <w:rPr>
          <w:rFonts w:ascii="Arial" w:hAnsi="Arial" w:cs="Arial"/>
          <w:i/>
          <w:sz w:val="22"/>
          <w:szCs w:val="22"/>
        </w:rPr>
        <w:t xml:space="preserve">Governmental Auditing </w:t>
      </w:r>
      <w:r>
        <w:rPr>
          <w:rFonts w:ascii="Arial" w:hAnsi="Arial" w:cs="Arial"/>
          <w:i/>
          <w:sz w:val="22"/>
          <w:szCs w:val="22"/>
        </w:rPr>
        <w:t>Standards</w:t>
      </w:r>
      <w:r w:rsidRPr="005D1DBC">
        <w:rPr>
          <w:rFonts w:ascii="Arial" w:hAnsi="Arial" w:cs="Arial"/>
          <w:sz w:val="22"/>
          <w:szCs w:val="22"/>
        </w:rPr>
        <w:t xml:space="preserve"> will always detect material </w:t>
      </w:r>
      <w:r>
        <w:rPr>
          <w:rFonts w:ascii="Arial" w:hAnsi="Arial" w:cs="Arial"/>
          <w:sz w:val="22"/>
          <w:szCs w:val="22"/>
        </w:rPr>
        <w:t>misstatement</w:t>
      </w:r>
      <w:r w:rsidRPr="005D1DBC">
        <w:rPr>
          <w:rFonts w:ascii="Arial" w:hAnsi="Arial" w:cs="Arial"/>
          <w:sz w:val="22"/>
          <w:szCs w:val="22"/>
        </w:rPr>
        <w:t xml:space="preserve"> when it exists.  The risk of not detecting a material misstatement resulting from fraud is higher than for one resulting from error, as fraud may involve collusion, forgery, intentional omissions, misrepresentations, or the override of internal control.  Misstatements are considered material if there is a substantial likelihood that, individually or in the aggregate, they would influence the judgment made by a reasonable user based on the financial statements.  </w:t>
      </w:r>
    </w:p>
    <w:p w14:paraId="7614FE04" w14:textId="77777777" w:rsidR="003240D2" w:rsidRPr="005D1DBC" w:rsidRDefault="003240D2" w:rsidP="003240D2">
      <w:pPr>
        <w:jc w:val="both"/>
        <w:rPr>
          <w:rFonts w:ascii="Arial" w:hAnsi="Arial" w:cs="Arial"/>
          <w:sz w:val="22"/>
          <w:szCs w:val="22"/>
        </w:rPr>
      </w:pPr>
    </w:p>
    <w:p w14:paraId="1E61CFFF" w14:textId="77777777" w:rsidR="003240D2" w:rsidRPr="005D1DBC" w:rsidRDefault="003240D2" w:rsidP="003240D2">
      <w:pPr>
        <w:jc w:val="both"/>
        <w:rPr>
          <w:rFonts w:ascii="Arial" w:hAnsi="Arial" w:cs="Arial"/>
          <w:sz w:val="22"/>
          <w:szCs w:val="22"/>
        </w:rPr>
      </w:pPr>
      <w:r w:rsidRPr="005D1DBC">
        <w:rPr>
          <w:rFonts w:ascii="Arial" w:hAnsi="Arial" w:cs="Arial"/>
          <w:sz w:val="22"/>
          <w:szCs w:val="22"/>
        </w:rPr>
        <w:t>In performing an audit in accordance with GAAS</w:t>
      </w:r>
      <w:r w:rsidRPr="005D1DBC">
        <w:rPr>
          <w:rFonts w:ascii="Arial" w:hAnsi="Arial" w:cs="Arial"/>
          <w:i/>
          <w:sz w:val="22"/>
          <w:szCs w:val="22"/>
        </w:rPr>
        <w:t xml:space="preserve"> </w:t>
      </w:r>
      <w:r w:rsidRPr="005D1DBC">
        <w:rPr>
          <w:rFonts w:ascii="Arial" w:hAnsi="Arial" w:cs="Arial"/>
          <w:iCs/>
          <w:sz w:val="22"/>
          <w:szCs w:val="22"/>
        </w:rPr>
        <w:t>and</w:t>
      </w:r>
      <w:r w:rsidRPr="005D1DBC">
        <w:rPr>
          <w:rFonts w:ascii="Arial" w:hAnsi="Arial" w:cs="Arial"/>
          <w:i/>
          <w:sz w:val="22"/>
          <w:szCs w:val="22"/>
        </w:rPr>
        <w:t xml:space="preserve"> Governmental Auditing Standards</w:t>
      </w:r>
      <w:r w:rsidRPr="005D1DBC">
        <w:rPr>
          <w:rFonts w:ascii="Arial" w:hAnsi="Arial" w:cs="Arial"/>
          <w:sz w:val="22"/>
          <w:szCs w:val="22"/>
        </w:rPr>
        <w:t>, we</w:t>
      </w:r>
    </w:p>
    <w:p w14:paraId="29753CE2" w14:textId="77777777" w:rsidR="003240D2" w:rsidRPr="005D1DBC" w:rsidRDefault="003240D2" w:rsidP="003240D2">
      <w:pPr>
        <w:jc w:val="both"/>
        <w:rPr>
          <w:rFonts w:ascii="Arial" w:hAnsi="Arial" w:cs="Arial"/>
          <w:sz w:val="22"/>
          <w:szCs w:val="22"/>
        </w:rPr>
      </w:pPr>
    </w:p>
    <w:p w14:paraId="11AD7C60" w14:textId="77777777" w:rsidR="003240D2" w:rsidRPr="005D1DBC" w:rsidRDefault="003240D2" w:rsidP="003240D2">
      <w:pPr>
        <w:pStyle w:val="ListParagraph"/>
        <w:numPr>
          <w:ilvl w:val="0"/>
          <w:numId w:val="8"/>
        </w:numPr>
        <w:jc w:val="both"/>
        <w:rPr>
          <w:rFonts w:ascii="Arial" w:hAnsi="Arial" w:cs="Arial"/>
          <w:sz w:val="22"/>
          <w:szCs w:val="22"/>
        </w:rPr>
      </w:pPr>
      <w:r>
        <w:rPr>
          <w:rFonts w:ascii="Arial" w:hAnsi="Arial" w:cs="Arial"/>
          <w:sz w:val="22"/>
          <w:szCs w:val="22"/>
        </w:rPr>
        <w:t>exercise</w:t>
      </w:r>
      <w:r w:rsidRPr="005D1DBC">
        <w:rPr>
          <w:rFonts w:ascii="Arial" w:hAnsi="Arial" w:cs="Arial"/>
          <w:sz w:val="22"/>
          <w:szCs w:val="22"/>
        </w:rPr>
        <w:t xml:space="preserve"> professional </w:t>
      </w:r>
      <w:r>
        <w:rPr>
          <w:rFonts w:ascii="Arial" w:hAnsi="Arial" w:cs="Arial"/>
          <w:sz w:val="22"/>
          <w:szCs w:val="22"/>
        </w:rPr>
        <w:t>judgment</w:t>
      </w:r>
      <w:r w:rsidRPr="005D1DBC">
        <w:rPr>
          <w:rFonts w:ascii="Arial" w:hAnsi="Arial" w:cs="Arial"/>
          <w:sz w:val="22"/>
          <w:szCs w:val="22"/>
        </w:rPr>
        <w:t xml:space="preserve"> and </w:t>
      </w:r>
      <w:r>
        <w:rPr>
          <w:rFonts w:ascii="Arial" w:hAnsi="Arial" w:cs="Arial"/>
          <w:sz w:val="22"/>
          <w:szCs w:val="22"/>
        </w:rPr>
        <w:t>maintain</w:t>
      </w:r>
      <w:r w:rsidRPr="005D1DBC">
        <w:rPr>
          <w:rFonts w:ascii="Arial" w:hAnsi="Arial" w:cs="Arial"/>
          <w:sz w:val="22"/>
          <w:szCs w:val="22"/>
        </w:rPr>
        <w:t xml:space="preserve"> professional skepticism throughout the audit.</w:t>
      </w:r>
    </w:p>
    <w:p w14:paraId="47893349" w14:textId="77777777" w:rsidR="003240D2" w:rsidRPr="005D1DBC" w:rsidRDefault="003240D2" w:rsidP="003240D2">
      <w:pPr>
        <w:pStyle w:val="ListParagraph"/>
        <w:numPr>
          <w:ilvl w:val="0"/>
          <w:numId w:val="8"/>
        </w:numPr>
        <w:spacing w:before="120"/>
        <w:jc w:val="both"/>
        <w:rPr>
          <w:rFonts w:ascii="Arial" w:hAnsi="Arial" w:cs="Arial"/>
          <w:sz w:val="22"/>
          <w:szCs w:val="22"/>
        </w:rPr>
      </w:pPr>
      <w:r w:rsidRPr="005D1DBC">
        <w:rPr>
          <w:rFonts w:ascii="Arial" w:hAnsi="Arial" w:cs="Arial"/>
          <w:sz w:val="22"/>
          <w:szCs w:val="22"/>
        </w:rPr>
        <w:t xml:space="preserve">identify and assess the risks of material misstatement of the financial statements, whether due to fraud or error, and design and perform audit procedures </w:t>
      </w:r>
      <w:r>
        <w:rPr>
          <w:rFonts w:ascii="Arial" w:hAnsi="Arial" w:cs="Arial"/>
          <w:sz w:val="22"/>
          <w:szCs w:val="22"/>
        </w:rPr>
        <w:t>responsive</w:t>
      </w:r>
      <w:r w:rsidRPr="005D1DBC">
        <w:rPr>
          <w:rFonts w:ascii="Arial" w:hAnsi="Arial" w:cs="Arial"/>
          <w:sz w:val="22"/>
          <w:szCs w:val="22"/>
        </w:rPr>
        <w:t xml:space="preserve"> to those risks.  Such procedures include examining, on a test basis, evidence regarding the amounts and disclosures in the financial statements.</w:t>
      </w:r>
    </w:p>
    <w:p w14:paraId="75814B23" w14:textId="77777777" w:rsidR="003240D2" w:rsidRPr="005D1DBC" w:rsidRDefault="003240D2" w:rsidP="003240D2">
      <w:pPr>
        <w:pStyle w:val="ListParagraph"/>
        <w:numPr>
          <w:ilvl w:val="0"/>
          <w:numId w:val="8"/>
        </w:numPr>
        <w:jc w:val="both"/>
        <w:rPr>
          <w:rFonts w:ascii="Arial" w:hAnsi="Arial" w:cs="Arial"/>
          <w:sz w:val="22"/>
          <w:szCs w:val="22"/>
        </w:rPr>
      </w:pPr>
      <w:r w:rsidRPr="005D1DBC">
        <w:rPr>
          <w:rFonts w:ascii="Arial" w:hAnsi="Arial" w:cs="Arial"/>
          <w:sz w:val="22"/>
          <w:szCs w:val="22"/>
        </w:rPr>
        <w:t>obtain an understanding of internal control relevant to the audit in order to design audit procedures that are appropriate in the circumstances, but not for the purpose of expressing an opinion on the effectiveness of Carolina County’s internal control.  Accordingly, no such opinion is expressed.</w:t>
      </w:r>
    </w:p>
    <w:p w14:paraId="7C2C72D3" w14:textId="77777777" w:rsidR="003240D2" w:rsidRPr="005D1DBC" w:rsidRDefault="003240D2" w:rsidP="003240D2">
      <w:pPr>
        <w:pStyle w:val="ListParagraph"/>
        <w:numPr>
          <w:ilvl w:val="0"/>
          <w:numId w:val="8"/>
        </w:numPr>
        <w:jc w:val="both"/>
        <w:rPr>
          <w:rFonts w:ascii="Arial" w:hAnsi="Arial" w:cs="Arial"/>
          <w:sz w:val="22"/>
          <w:szCs w:val="22"/>
        </w:rPr>
      </w:pPr>
      <w:r w:rsidRPr="005D1DBC">
        <w:rPr>
          <w:rFonts w:ascii="Arial" w:hAnsi="Arial" w:cs="Arial"/>
          <w:sz w:val="22"/>
          <w:szCs w:val="22"/>
        </w:rPr>
        <w:t>evaluate the appropriateness of accounting policies used and the reasonableness of significant accounting estimates made by management, as well as evaluate the overall presentation of the financial statements.</w:t>
      </w:r>
    </w:p>
    <w:p w14:paraId="503E0542" w14:textId="77777777" w:rsidR="003240D2" w:rsidRPr="005D1DBC" w:rsidRDefault="003240D2" w:rsidP="003240D2">
      <w:pPr>
        <w:pStyle w:val="ListParagraph"/>
        <w:numPr>
          <w:ilvl w:val="0"/>
          <w:numId w:val="8"/>
        </w:numPr>
        <w:jc w:val="both"/>
        <w:rPr>
          <w:rFonts w:ascii="Arial" w:hAnsi="Arial" w:cs="Arial"/>
          <w:sz w:val="22"/>
          <w:szCs w:val="22"/>
        </w:rPr>
      </w:pPr>
      <w:r w:rsidRPr="005D1DBC">
        <w:rPr>
          <w:rFonts w:ascii="Arial" w:hAnsi="Arial" w:cs="Arial"/>
          <w:sz w:val="22"/>
          <w:szCs w:val="22"/>
        </w:rPr>
        <w:t>conclude whether, in our judgment, there are conditions or events, considered in the aggregate, that raise substantial</w:t>
      </w:r>
      <w:r>
        <w:rPr>
          <w:rFonts w:ascii="Arial" w:hAnsi="Arial" w:cs="Arial"/>
          <w:sz w:val="22"/>
          <w:szCs w:val="22"/>
        </w:rPr>
        <w:t xml:space="preserve"> </w:t>
      </w:r>
      <w:r w:rsidRPr="005D1DBC">
        <w:rPr>
          <w:rFonts w:ascii="Arial" w:hAnsi="Arial" w:cs="Arial"/>
          <w:sz w:val="22"/>
          <w:szCs w:val="22"/>
        </w:rPr>
        <w:t xml:space="preserve">doubt about the </w:t>
      </w:r>
      <w:r>
        <w:rPr>
          <w:rFonts w:ascii="Arial" w:hAnsi="Arial" w:cs="Arial"/>
          <w:sz w:val="22"/>
          <w:szCs w:val="22"/>
        </w:rPr>
        <w:t>Carolina County’s</w:t>
      </w:r>
      <w:r w:rsidRPr="005D1DBC">
        <w:rPr>
          <w:rFonts w:ascii="Arial" w:hAnsi="Arial" w:cs="Arial"/>
          <w:sz w:val="22"/>
          <w:szCs w:val="22"/>
        </w:rPr>
        <w:t xml:space="preserve"> ability to continue as a going concern for a reasonable period of time.</w:t>
      </w:r>
    </w:p>
    <w:p w14:paraId="765C9183" w14:textId="77777777" w:rsidR="003240D2" w:rsidRPr="005D1DBC" w:rsidRDefault="003240D2" w:rsidP="003240D2">
      <w:pPr>
        <w:jc w:val="both"/>
        <w:rPr>
          <w:rFonts w:ascii="Arial" w:hAnsi="Arial" w:cs="Arial"/>
          <w:sz w:val="22"/>
          <w:szCs w:val="22"/>
        </w:rPr>
      </w:pPr>
    </w:p>
    <w:p w14:paraId="584734F1" w14:textId="77777777" w:rsidR="003240D2" w:rsidRPr="005D1DBC" w:rsidRDefault="003240D2" w:rsidP="003240D2">
      <w:pPr>
        <w:jc w:val="both"/>
        <w:rPr>
          <w:rFonts w:ascii="Arial" w:hAnsi="Arial" w:cs="Arial"/>
          <w:sz w:val="22"/>
          <w:szCs w:val="22"/>
        </w:rPr>
      </w:pPr>
      <w:r w:rsidRPr="005D1DBC">
        <w:rPr>
          <w:rFonts w:ascii="Arial" w:hAnsi="Arial" w:cs="Arial"/>
          <w:sz w:val="22"/>
          <w:szCs w:val="22"/>
        </w:rPr>
        <w:t xml:space="preserve">We are required to communicate with those charged with governance </w:t>
      </w:r>
      <w:r>
        <w:rPr>
          <w:rFonts w:ascii="Arial" w:hAnsi="Arial" w:cs="Arial"/>
          <w:sz w:val="22"/>
          <w:szCs w:val="22"/>
        </w:rPr>
        <w:t>regarding,</w:t>
      </w:r>
      <w:r w:rsidRPr="005D1DBC">
        <w:rPr>
          <w:rFonts w:ascii="Arial" w:hAnsi="Arial" w:cs="Arial"/>
          <w:sz w:val="22"/>
          <w:szCs w:val="22"/>
        </w:rPr>
        <w:t xml:space="preserve"> among other matters, the planned scope and timing of the audit, significant audit findings, and certain internal control-related matters that we identified during the audit.</w:t>
      </w:r>
    </w:p>
    <w:p w14:paraId="3EC6E030" w14:textId="77777777" w:rsidR="003240D2" w:rsidRPr="006917F4" w:rsidRDefault="003240D2" w:rsidP="003240D2">
      <w:pPr>
        <w:spacing w:before="120"/>
        <w:jc w:val="both"/>
        <w:rPr>
          <w:rFonts w:ascii="Arial" w:hAnsi="Arial" w:cs="Arial"/>
          <w:sz w:val="22"/>
          <w:szCs w:val="22"/>
        </w:rPr>
      </w:pPr>
      <w:bookmarkStart w:id="6" w:name="_Hlk106882515"/>
      <w:bookmarkEnd w:id="5"/>
      <w:r w:rsidRPr="006917F4">
        <w:rPr>
          <w:rFonts w:ascii="Arial" w:hAnsi="Arial" w:cs="Arial"/>
          <w:b/>
          <w:bCs/>
          <w:i/>
          <w:sz w:val="22"/>
          <w:szCs w:val="22"/>
        </w:rPr>
        <w:t>Required Supplementary Information</w:t>
      </w:r>
    </w:p>
    <w:p w14:paraId="6E9354B8" w14:textId="0167A3BC" w:rsidR="003240D2" w:rsidRPr="00161A83" w:rsidRDefault="003240D2" w:rsidP="003240D2">
      <w:pPr>
        <w:spacing w:before="120"/>
        <w:jc w:val="both"/>
        <w:rPr>
          <w:rFonts w:ascii="Arial" w:hAnsi="Arial" w:cs="Arial"/>
          <w:sz w:val="22"/>
          <w:szCs w:val="22"/>
        </w:rPr>
      </w:pPr>
      <w:r w:rsidRPr="001465E2">
        <w:rPr>
          <w:rFonts w:ascii="Arial" w:hAnsi="Arial" w:cs="Arial"/>
          <w:sz w:val="22"/>
          <w:szCs w:val="22"/>
        </w:rPr>
        <w:t xml:space="preserve">Accounting principles generally accepted in the United States of America require that the Management’s Discussion and </w:t>
      </w:r>
      <w:r w:rsidRPr="00FF5B3C">
        <w:rPr>
          <w:rFonts w:ascii="Arial" w:hAnsi="Arial" w:cs="Arial"/>
          <w:sz w:val="22"/>
          <w:szCs w:val="22"/>
        </w:rPr>
        <w:t xml:space="preserve">Analysis on pages </w:t>
      </w:r>
      <w:r>
        <w:rPr>
          <w:rFonts w:ascii="Arial" w:hAnsi="Arial" w:cs="Arial"/>
          <w:sz w:val="22"/>
          <w:szCs w:val="22"/>
        </w:rPr>
        <w:t xml:space="preserve">XX </w:t>
      </w:r>
      <w:r w:rsidRPr="00FF5B3C">
        <w:rPr>
          <w:rFonts w:ascii="Arial" w:hAnsi="Arial" w:cs="Arial"/>
          <w:sz w:val="22"/>
          <w:szCs w:val="22"/>
        </w:rPr>
        <w:t xml:space="preserve"> through </w:t>
      </w:r>
      <w:r>
        <w:rPr>
          <w:rFonts w:ascii="Arial" w:hAnsi="Arial" w:cs="Arial"/>
          <w:sz w:val="22"/>
          <w:szCs w:val="22"/>
        </w:rPr>
        <w:t>XX</w:t>
      </w:r>
      <w:r w:rsidRPr="00FF5B3C">
        <w:rPr>
          <w:rFonts w:ascii="Arial" w:hAnsi="Arial" w:cs="Arial"/>
          <w:sz w:val="22"/>
          <w:szCs w:val="22"/>
        </w:rPr>
        <w:t xml:space="preserve">, </w:t>
      </w:r>
      <w:bookmarkStart w:id="7" w:name="_Hlk75157853"/>
      <w:r w:rsidR="00123E4A" w:rsidRPr="00FD30C4">
        <w:rPr>
          <w:rFonts w:ascii="Arial" w:hAnsi="Arial" w:cs="Arial"/>
          <w:sz w:val="22"/>
          <w:szCs w:val="22"/>
        </w:rPr>
        <w:t>the respective budgetary comparison for the</w:t>
      </w:r>
      <w:r w:rsidR="00123E4A" w:rsidRPr="00FD30C4">
        <w:rPr>
          <w:rFonts w:ascii="Arial" w:hAnsi="Arial" w:cs="Arial"/>
          <w:bCs/>
          <w:sz w:val="22"/>
          <w:szCs w:val="22"/>
        </w:rPr>
        <w:t xml:space="preserve"> General Fund</w:t>
      </w:r>
      <w:r w:rsidR="00123E4A">
        <w:rPr>
          <w:rFonts w:ascii="Arial" w:hAnsi="Arial" w:cs="Arial"/>
          <w:bCs/>
          <w:sz w:val="22"/>
          <w:szCs w:val="22"/>
        </w:rPr>
        <w:t>,</w:t>
      </w:r>
      <w:r w:rsidR="00123E4A" w:rsidRPr="00FD30C4">
        <w:rPr>
          <w:rFonts w:ascii="Arial" w:hAnsi="Arial" w:cs="Arial"/>
          <w:bCs/>
          <w:sz w:val="22"/>
          <w:szCs w:val="22"/>
        </w:rPr>
        <w:t xml:space="preserve"> </w:t>
      </w:r>
      <w:r w:rsidR="00123E4A">
        <w:rPr>
          <w:rFonts w:ascii="Arial" w:hAnsi="Arial" w:cs="Arial"/>
          <w:bCs/>
          <w:sz w:val="22"/>
          <w:szCs w:val="22"/>
        </w:rPr>
        <w:t xml:space="preserve">page XX, </w:t>
      </w:r>
      <w:r w:rsidR="00123E4A" w:rsidRPr="00FD30C4">
        <w:rPr>
          <w:rFonts w:ascii="Arial" w:hAnsi="Arial" w:cs="Arial"/>
          <w:sz w:val="22"/>
          <w:szCs w:val="22"/>
        </w:rPr>
        <w:t>and Carolina County Tourism Development Authority</w:t>
      </w:r>
      <w:r w:rsidR="00123E4A">
        <w:rPr>
          <w:rFonts w:ascii="Arial" w:hAnsi="Arial" w:cs="Arial"/>
          <w:sz w:val="22"/>
          <w:szCs w:val="22"/>
        </w:rPr>
        <w:t>,</w:t>
      </w:r>
      <w:r w:rsidR="00123E4A" w:rsidRPr="00FF5B3C">
        <w:rPr>
          <w:rFonts w:ascii="Arial" w:hAnsi="Arial" w:cs="Arial"/>
          <w:sz w:val="22"/>
          <w:szCs w:val="22"/>
        </w:rPr>
        <w:t xml:space="preserve"> </w:t>
      </w:r>
      <w:r w:rsidR="00123E4A">
        <w:rPr>
          <w:rFonts w:ascii="Arial" w:hAnsi="Arial" w:cs="Arial"/>
          <w:sz w:val="22"/>
          <w:szCs w:val="22"/>
        </w:rPr>
        <w:t xml:space="preserve">page </w:t>
      </w:r>
      <w:r w:rsidR="005610D2">
        <w:rPr>
          <w:rFonts w:ascii="Arial" w:hAnsi="Arial" w:cs="Arial"/>
          <w:sz w:val="22"/>
          <w:szCs w:val="22"/>
        </w:rPr>
        <w:t>X</w:t>
      </w:r>
      <w:r w:rsidR="00123E4A">
        <w:rPr>
          <w:rFonts w:ascii="Arial" w:hAnsi="Arial" w:cs="Arial"/>
          <w:sz w:val="22"/>
          <w:szCs w:val="22"/>
        </w:rPr>
        <w:t xml:space="preserve">X, </w:t>
      </w:r>
      <w:r w:rsidRPr="00FF5B3C">
        <w:rPr>
          <w:rFonts w:ascii="Arial" w:hAnsi="Arial" w:cs="Arial"/>
          <w:sz w:val="22"/>
          <w:szCs w:val="22"/>
        </w:rPr>
        <w:t xml:space="preserve">the Local </w:t>
      </w:r>
      <w:r>
        <w:rPr>
          <w:rFonts w:ascii="Arial" w:hAnsi="Arial" w:cs="Arial"/>
          <w:sz w:val="22"/>
          <w:szCs w:val="22"/>
        </w:rPr>
        <w:t>Governmental</w:t>
      </w:r>
      <w:r w:rsidRPr="00FF5B3C">
        <w:rPr>
          <w:rFonts w:ascii="Arial" w:hAnsi="Arial" w:cs="Arial"/>
          <w:sz w:val="22"/>
          <w:szCs w:val="22"/>
        </w:rPr>
        <w:t xml:space="preserve"> Employees’ Retirement System Schedules of the County’s Proportionate Share of Net Pension Liability and County Contributions, pages </w:t>
      </w:r>
      <w:r>
        <w:rPr>
          <w:rFonts w:ascii="Arial" w:hAnsi="Arial" w:cs="Arial"/>
          <w:sz w:val="22"/>
          <w:szCs w:val="22"/>
        </w:rPr>
        <w:t>XXX</w:t>
      </w:r>
      <w:r w:rsidRPr="00FF5B3C">
        <w:rPr>
          <w:rFonts w:ascii="Arial" w:hAnsi="Arial" w:cs="Arial"/>
          <w:sz w:val="22"/>
          <w:szCs w:val="22"/>
        </w:rPr>
        <w:t xml:space="preserve"> and </w:t>
      </w:r>
      <w:r>
        <w:rPr>
          <w:rFonts w:ascii="Arial" w:hAnsi="Arial" w:cs="Arial"/>
          <w:sz w:val="22"/>
          <w:szCs w:val="22"/>
        </w:rPr>
        <w:t>XXX</w:t>
      </w:r>
      <w:r w:rsidRPr="00FF5B3C">
        <w:rPr>
          <w:rFonts w:ascii="Arial" w:hAnsi="Arial" w:cs="Arial"/>
          <w:sz w:val="22"/>
          <w:szCs w:val="22"/>
        </w:rPr>
        <w:t>,</w:t>
      </w:r>
      <w:bookmarkEnd w:id="7"/>
      <w:r w:rsidRPr="00FF5B3C">
        <w:rPr>
          <w:rFonts w:ascii="Arial" w:hAnsi="Arial" w:cs="Arial"/>
          <w:sz w:val="22"/>
          <w:szCs w:val="22"/>
        </w:rPr>
        <w:t xml:space="preserve">  the Local </w:t>
      </w:r>
      <w:r>
        <w:rPr>
          <w:rFonts w:ascii="Arial" w:hAnsi="Arial" w:cs="Arial"/>
          <w:sz w:val="22"/>
          <w:szCs w:val="22"/>
        </w:rPr>
        <w:t>Governmental</w:t>
      </w:r>
      <w:r w:rsidRPr="00FF5B3C">
        <w:rPr>
          <w:rFonts w:ascii="Arial" w:hAnsi="Arial" w:cs="Arial"/>
          <w:sz w:val="22"/>
          <w:szCs w:val="22"/>
        </w:rPr>
        <w:t xml:space="preserve"> Employees’ Retirement System Schedules of the Carolina County Tourism Development Authority’s Proportionate Share of Net Pension Liability and County Contributions, pages </w:t>
      </w:r>
      <w:r>
        <w:rPr>
          <w:rFonts w:ascii="Arial" w:hAnsi="Arial" w:cs="Arial"/>
          <w:sz w:val="22"/>
          <w:szCs w:val="22"/>
        </w:rPr>
        <w:t xml:space="preserve">XXX </w:t>
      </w:r>
      <w:r w:rsidRPr="00FF5B3C">
        <w:rPr>
          <w:rFonts w:ascii="Arial" w:hAnsi="Arial" w:cs="Arial"/>
          <w:sz w:val="22"/>
          <w:szCs w:val="22"/>
        </w:rPr>
        <w:t xml:space="preserve">and </w:t>
      </w:r>
      <w:r>
        <w:rPr>
          <w:rFonts w:ascii="Arial" w:hAnsi="Arial" w:cs="Arial"/>
          <w:sz w:val="22"/>
          <w:szCs w:val="22"/>
        </w:rPr>
        <w:t>XXX</w:t>
      </w:r>
      <w:r w:rsidRPr="00FF5B3C">
        <w:rPr>
          <w:rFonts w:ascii="Arial" w:hAnsi="Arial" w:cs="Arial"/>
          <w:sz w:val="22"/>
          <w:szCs w:val="22"/>
        </w:rPr>
        <w:t xml:space="preserve">, and the Register of Deeds’ Supplemental Pension Fund schedules of the County’s Proportionate Share of the Net Pension Asset and County Contributions on pages </w:t>
      </w:r>
      <w:r>
        <w:rPr>
          <w:rFonts w:ascii="Arial" w:hAnsi="Arial" w:cs="Arial"/>
          <w:sz w:val="22"/>
          <w:szCs w:val="22"/>
        </w:rPr>
        <w:t>XXX</w:t>
      </w:r>
      <w:r w:rsidRPr="00FF5B3C">
        <w:rPr>
          <w:rFonts w:ascii="Arial" w:hAnsi="Arial" w:cs="Arial"/>
          <w:sz w:val="22"/>
          <w:szCs w:val="22"/>
        </w:rPr>
        <w:t xml:space="preserve"> through </w:t>
      </w:r>
      <w:r>
        <w:rPr>
          <w:rFonts w:ascii="Arial" w:hAnsi="Arial" w:cs="Arial"/>
          <w:sz w:val="22"/>
          <w:szCs w:val="22"/>
        </w:rPr>
        <w:t>XXX</w:t>
      </w:r>
      <w:r w:rsidRPr="00FF5B3C">
        <w:rPr>
          <w:rFonts w:ascii="Arial" w:hAnsi="Arial" w:cs="Arial"/>
          <w:sz w:val="22"/>
          <w:szCs w:val="22"/>
        </w:rPr>
        <w:t>, the Law Enforcement</w:t>
      </w:r>
      <w:r w:rsidRPr="001465E2">
        <w:rPr>
          <w:rFonts w:ascii="Arial" w:hAnsi="Arial" w:cs="Arial"/>
          <w:sz w:val="22"/>
          <w:szCs w:val="22"/>
        </w:rPr>
        <w:t xml:space="preserve"> Officers’ Special Separation Allowance schedules of the Changes in Total Pension Liability and Total Pension Liability as a Percentage of Covered Payroll, pages </w:t>
      </w:r>
      <w:r>
        <w:rPr>
          <w:rFonts w:ascii="Arial" w:hAnsi="Arial" w:cs="Arial"/>
          <w:sz w:val="22"/>
          <w:szCs w:val="22"/>
        </w:rPr>
        <w:t xml:space="preserve">XXX </w:t>
      </w:r>
      <w:r w:rsidRPr="005B76A4">
        <w:rPr>
          <w:rFonts w:ascii="Arial" w:hAnsi="Arial" w:cs="Arial"/>
          <w:sz w:val="22"/>
          <w:szCs w:val="22"/>
        </w:rPr>
        <w:t xml:space="preserve">and </w:t>
      </w:r>
      <w:r>
        <w:rPr>
          <w:rFonts w:ascii="Arial" w:hAnsi="Arial" w:cs="Arial"/>
          <w:sz w:val="22"/>
          <w:szCs w:val="22"/>
        </w:rPr>
        <w:t>XXX</w:t>
      </w:r>
      <w:r w:rsidRPr="001465E2">
        <w:rPr>
          <w:rFonts w:ascii="Arial" w:hAnsi="Arial" w:cs="Arial"/>
          <w:sz w:val="22"/>
          <w:szCs w:val="22"/>
        </w:rPr>
        <w:t>, the Other Post</w:t>
      </w:r>
      <w:r>
        <w:rPr>
          <w:rFonts w:ascii="Arial" w:hAnsi="Arial" w:cs="Arial"/>
          <w:sz w:val="22"/>
          <w:szCs w:val="22"/>
        </w:rPr>
        <w:t xml:space="preserve"> Employment</w:t>
      </w:r>
      <w:r w:rsidRPr="001465E2">
        <w:rPr>
          <w:rFonts w:ascii="Arial" w:hAnsi="Arial" w:cs="Arial"/>
          <w:sz w:val="22"/>
          <w:szCs w:val="22"/>
        </w:rPr>
        <w:t xml:space="preserve"> Benefits schedules of Changes in the Net OPEB Liability and Related Ratios, County Contributions, and Investment Returns, </w:t>
      </w:r>
      <w:r w:rsidRPr="005B76A4">
        <w:rPr>
          <w:rFonts w:ascii="Arial" w:hAnsi="Arial" w:cs="Arial"/>
          <w:sz w:val="22"/>
          <w:szCs w:val="22"/>
        </w:rPr>
        <w:lastRenderedPageBreak/>
        <w:t xml:space="preserve">pages </w:t>
      </w:r>
      <w:r>
        <w:rPr>
          <w:rFonts w:ascii="Arial" w:hAnsi="Arial" w:cs="Arial"/>
          <w:sz w:val="22"/>
          <w:szCs w:val="22"/>
        </w:rPr>
        <w:t>XXX</w:t>
      </w:r>
      <w:r w:rsidRPr="005B76A4">
        <w:rPr>
          <w:rFonts w:ascii="Arial" w:hAnsi="Arial" w:cs="Arial"/>
          <w:sz w:val="22"/>
          <w:szCs w:val="22"/>
        </w:rPr>
        <w:t xml:space="preserve"> through</w:t>
      </w:r>
      <w:r>
        <w:rPr>
          <w:rFonts w:ascii="Arial" w:hAnsi="Arial" w:cs="Arial"/>
          <w:sz w:val="22"/>
          <w:szCs w:val="22"/>
        </w:rPr>
        <w:t xml:space="preserve"> XXX</w:t>
      </w:r>
      <w:r w:rsidRPr="001465E2">
        <w:rPr>
          <w:rFonts w:ascii="Arial" w:hAnsi="Arial" w:cs="Arial"/>
          <w:sz w:val="22"/>
          <w:szCs w:val="22"/>
        </w:rPr>
        <w:t xml:space="preserve">, be presented to supplement the basic financial statements. </w:t>
      </w:r>
      <w:bookmarkStart w:id="8" w:name="_Hlk107486143"/>
      <w:r w:rsidRPr="00161A83">
        <w:rPr>
          <w:rFonts w:ascii="Arial" w:hAnsi="Arial" w:cs="Arial"/>
          <w:sz w:val="22"/>
          <w:szCs w:val="22"/>
        </w:rPr>
        <w:t xml:space="preserve">Such information </w:t>
      </w:r>
      <w:r w:rsidRPr="00FB49A3">
        <w:rPr>
          <w:rFonts w:ascii="Arial" w:hAnsi="Arial" w:cs="Arial"/>
          <w:bCs/>
          <w:sz w:val="22"/>
          <w:szCs w:val="22"/>
        </w:rPr>
        <w:t>is the responsibility of management</w:t>
      </w:r>
      <w:r w:rsidRPr="00FB49A3">
        <w:rPr>
          <w:rFonts w:ascii="Arial" w:hAnsi="Arial" w:cs="Arial"/>
          <w:sz w:val="22"/>
          <w:szCs w:val="22"/>
        </w:rPr>
        <w:t>,</w:t>
      </w:r>
      <w:bookmarkEnd w:id="8"/>
      <w:r w:rsidRPr="00884AC7">
        <w:rPr>
          <w:rFonts w:ascii="Arial" w:hAnsi="Arial" w:cs="Arial"/>
          <w:sz w:val="22"/>
          <w:szCs w:val="22"/>
        </w:rPr>
        <w:t xml:space="preserve"> </w:t>
      </w:r>
      <w:r w:rsidRPr="00161A83">
        <w:rPr>
          <w:rFonts w:ascii="Arial" w:hAnsi="Arial" w:cs="Arial"/>
          <w:sz w:val="22"/>
          <w:szCs w:val="22"/>
        </w:rPr>
        <w:t xml:space="preserve">although not a part of the basic financial statements, is required by the Governmental Accounting Standards Board who considers it to be an essential part of the financial reporting for placing the basic financial statements in an appropriate operational, economic, or historical context.  </w:t>
      </w:r>
      <w:r w:rsidRPr="00F33AE8">
        <w:rPr>
          <w:rFonts w:ascii="Arial" w:hAnsi="Arial" w:cs="Arial"/>
          <w:sz w:val="22"/>
          <w:szCs w:val="22"/>
        </w:rPr>
        <w:t xml:space="preserve">We </w:t>
      </w:r>
      <w:r w:rsidRPr="000A4A6D">
        <w:rPr>
          <w:rFonts w:ascii="Arial" w:hAnsi="Arial" w:cs="Arial"/>
          <w:color w:val="FF0000"/>
          <w:sz w:val="22"/>
          <w:szCs w:val="22"/>
        </w:rPr>
        <w:t xml:space="preserve">and other auditors </w:t>
      </w:r>
      <w:bookmarkStart w:id="9" w:name="_Hlk107486201"/>
      <w:r w:rsidRPr="00F33AE8">
        <w:rPr>
          <w:rFonts w:ascii="Arial" w:hAnsi="Arial" w:cs="Arial"/>
          <w:sz w:val="22"/>
          <w:szCs w:val="22"/>
        </w:rPr>
        <w:t xml:space="preserve">have </w:t>
      </w:r>
      <w:r w:rsidRPr="00161A83">
        <w:rPr>
          <w:rFonts w:ascii="Arial" w:hAnsi="Arial" w:cs="Arial"/>
          <w:sz w:val="22"/>
          <w:szCs w:val="22"/>
        </w:rPr>
        <w:t>applied certain limited procedures to the required supplementary information in accordance with auditing standards generally accepted in the United States of America, which consist of inquiries of management about the methods of preparing the information and comparing the information for consistency with management’s responses to our inquiries, the basic financial statements, and other knowledge we obtained during our audit of the basic financial statements.  We do not express an opinion or provide any assurance on the information because the limited procedures do not provide us with sufficient evidence to express an opinion or provide any assurance</w:t>
      </w:r>
      <w:bookmarkEnd w:id="9"/>
      <w:r w:rsidRPr="00161A83">
        <w:rPr>
          <w:rFonts w:ascii="Arial" w:hAnsi="Arial" w:cs="Arial"/>
          <w:sz w:val="22"/>
          <w:szCs w:val="22"/>
        </w:rPr>
        <w:t>.</w:t>
      </w:r>
    </w:p>
    <w:p w14:paraId="25261B65" w14:textId="77777777" w:rsidR="003240D2" w:rsidRPr="006917F4" w:rsidRDefault="003240D2" w:rsidP="003240D2">
      <w:pPr>
        <w:jc w:val="both"/>
        <w:rPr>
          <w:rFonts w:ascii="Arial" w:hAnsi="Arial" w:cs="Arial"/>
          <w:sz w:val="22"/>
          <w:szCs w:val="22"/>
        </w:rPr>
      </w:pPr>
      <w:bookmarkStart w:id="10" w:name="_Hlk106882584"/>
      <w:bookmarkEnd w:id="6"/>
    </w:p>
    <w:p w14:paraId="41F5B19B" w14:textId="77777777" w:rsidR="003240D2" w:rsidRPr="006917F4" w:rsidRDefault="003240D2" w:rsidP="003240D2">
      <w:pPr>
        <w:jc w:val="both"/>
        <w:rPr>
          <w:rFonts w:ascii="Arial" w:hAnsi="Arial" w:cs="Arial"/>
          <w:i/>
          <w:sz w:val="22"/>
          <w:szCs w:val="22"/>
        </w:rPr>
      </w:pPr>
      <w:bookmarkStart w:id="11" w:name="_Hlk106882540"/>
      <w:r w:rsidRPr="00007EE6">
        <w:rPr>
          <w:rFonts w:ascii="Arial" w:hAnsi="Arial" w:cs="Arial"/>
          <w:b/>
          <w:bCs/>
          <w:i/>
          <w:sz w:val="22"/>
          <w:szCs w:val="22"/>
        </w:rPr>
        <w:t>Supplementary</w:t>
      </w:r>
      <w:r>
        <w:rPr>
          <w:rFonts w:ascii="Arial" w:hAnsi="Arial" w:cs="Arial"/>
          <w:b/>
          <w:bCs/>
          <w:i/>
          <w:sz w:val="22"/>
          <w:szCs w:val="22"/>
        </w:rPr>
        <w:t xml:space="preserve"> </w:t>
      </w:r>
      <w:r w:rsidRPr="00007EE6">
        <w:rPr>
          <w:rFonts w:ascii="Arial" w:hAnsi="Arial" w:cs="Arial"/>
          <w:b/>
          <w:bCs/>
          <w:i/>
          <w:sz w:val="22"/>
          <w:szCs w:val="22"/>
        </w:rPr>
        <w:t>Information</w:t>
      </w:r>
    </w:p>
    <w:p w14:paraId="09AB5ED4" w14:textId="77777777" w:rsidR="003240D2" w:rsidRPr="001465E2" w:rsidRDefault="003240D2" w:rsidP="003240D2">
      <w:pPr>
        <w:spacing w:before="120"/>
        <w:jc w:val="both"/>
        <w:rPr>
          <w:rFonts w:ascii="Arial" w:hAnsi="Arial" w:cs="Arial"/>
          <w:i/>
          <w:sz w:val="22"/>
          <w:szCs w:val="22"/>
        </w:rPr>
      </w:pPr>
      <w:r w:rsidRPr="001465E2">
        <w:rPr>
          <w:rFonts w:ascii="Arial" w:hAnsi="Arial" w:cs="Arial"/>
          <w:sz w:val="22"/>
          <w:szCs w:val="22"/>
        </w:rPr>
        <w:t>Our audit was conducted for the purpose of forming opinions on the financial statements that collectively comprise the basic financial statements of Carolina County, North Carolina.  The combining and individual fund statements, budgetary schedules, other schedules</w:t>
      </w:r>
      <w:r w:rsidRPr="00FF5B3C">
        <w:rPr>
          <w:rFonts w:ascii="Arial" w:hAnsi="Arial" w:cs="Arial"/>
          <w:sz w:val="22"/>
          <w:szCs w:val="22"/>
        </w:rPr>
        <w:t xml:space="preserve">, and component unit schedules as well as the accompanying Schedule of Expenditures of Federal and State Awards, as required by </w:t>
      </w:r>
      <w:r w:rsidRPr="00FF5B3C">
        <w:rPr>
          <w:rFonts w:ascii="Arial" w:hAnsi="Arial" w:cs="Arial"/>
          <w:i/>
          <w:sz w:val="22"/>
          <w:szCs w:val="22"/>
        </w:rPr>
        <w:t>Title 2 U.S. Code of Federal Regulations (CFR) Part 200</w:t>
      </w:r>
      <w:r w:rsidRPr="00FF5B3C">
        <w:rPr>
          <w:rFonts w:ascii="Arial" w:hAnsi="Arial" w:cs="Arial"/>
          <w:sz w:val="22"/>
          <w:szCs w:val="22"/>
        </w:rPr>
        <w:t>, Uniform Administrative</w:t>
      </w:r>
      <w:r w:rsidRPr="001465E2">
        <w:rPr>
          <w:rFonts w:ascii="Arial" w:hAnsi="Arial" w:cs="Arial"/>
          <w:sz w:val="22"/>
          <w:szCs w:val="22"/>
        </w:rPr>
        <w:t xml:space="preserve"> Requirements, Cost Principles, and Audit Requirements for Federal Awards are presented for purposes of additional analysis and are not a required part of the basic financial statements.</w:t>
      </w:r>
      <w:r>
        <w:rPr>
          <w:rFonts w:ascii="Arial" w:hAnsi="Arial" w:cs="Arial"/>
          <w:sz w:val="22"/>
          <w:szCs w:val="22"/>
        </w:rPr>
        <w:t xml:space="preserve"> </w:t>
      </w:r>
      <w:bookmarkStart w:id="12" w:name="_Hlk107486302"/>
      <w:bookmarkStart w:id="13" w:name="_Hlk106882604"/>
      <w:bookmarkEnd w:id="10"/>
      <w:r w:rsidRPr="00F33AE8">
        <w:rPr>
          <w:rFonts w:ascii="Arial" w:hAnsi="Arial" w:cs="Arial"/>
          <w:sz w:val="22"/>
          <w:szCs w:val="22"/>
        </w:rPr>
        <w:t xml:space="preserve">Such information is the responsibility of management </w:t>
      </w:r>
      <w:bookmarkStart w:id="14" w:name="_Hlk107486527"/>
      <w:bookmarkEnd w:id="12"/>
      <w:r w:rsidRPr="00F33AE8">
        <w:rPr>
          <w:rFonts w:ascii="Arial" w:hAnsi="Arial" w:cs="Arial"/>
          <w:sz w:val="22"/>
          <w:szCs w:val="22"/>
        </w:rPr>
        <w:t xml:space="preserve">and was derived from and relates directly to the underlying accounting and other records used to prepare the basic financial statements. The information has been subjected to the auditing procedures applied in the audit of the basic financial statements and certain additional procedures, including comparing and reconciling such information directly to the underlying accounting and other records used to prepare the basic financial statements or to the basic financial statements themselves, and other additional procedures in accordance with auditing standards generally accepted in the United States of America </w:t>
      </w:r>
      <w:bookmarkEnd w:id="14"/>
      <w:r w:rsidRPr="000A4A6D">
        <w:rPr>
          <w:rFonts w:ascii="Arial" w:hAnsi="Arial" w:cs="Arial"/>
          <w:bCs/>
          <w:color w:val="FF0000"/>
          <w:sz w:val="22"/>
          <w:szCs w:val="22"/>
        </w:rPr>
        <w:t>by us and other auditors</w:t>
      </w:r>
      <w:r w:rsidRPr="00F33AE8">
        <w:rPr>
          <w:rFonts w:ascii="Arial" w:hAnsi="Arial" w:cs="Arial"/>
          <w:bCs/>
          <w:sz w:val="22"/>
          <w:szCs w:val="22"/>
        </w:rPr>
        <w:t>. In our opinion</w:t>
      </w:r>
      <w:r w:rsidRPr="00F33AE8">
        <w:rPr>
          <w:rFonts w:ascii="Arial" w:hAnsi="Arial" w:cs="Arial"/>
          <w:bCs/>
          <w:sz w:val="22"/>
          <w:szCs w:val="22"/>
          <w:vertAlign w:val="superscript"/>
        </w:rPr>
        <w:t>,</w:t>
      </w:r>
      <w:r w:rsidRPr="00F33AE8">
        <w:rPr>
          <w:rFonts w:ascii="Arial" w:hAnsi="Arial" w:cs="Arial"/>
          <w:bCs/>
          <w:sz w:val="22"/>
          <w:szCs w:val="22"/>
        </w:rPr>
        <w:t xml:space="preserve"> </w:t>
      </w:r>
      <w:r w:rsidRPr="000A4A6D">
        <w:rPr>
          <w:rFonts w:ascii="Arial" w:hAnsi="Arial" w:cs="Arial"/>
          <w:bCs/>
          <w:color w:val="FF0000"/>
          <w:sz w:val="22"/>
          <w:szCs w:val="22"/>
        </w:rPr>
        <w:t>based on our audit, the procedures performed as described above, and the report of other auditors</w:t>
      </w:r>
      <w:r w:rsidRPr="000A4A6D">
        <w:rPr>
          <w:rFonts w:ascii="Arial" w:hAnsi="Arial" w:cs="Arial"/>
          <w:color w:val="FF0000"/>
          <w:sz w:val="22"/>
          <w:szCs w:val="22"/>
        </w:rPr>
        <w:t xml:space="preserve">, </w:t>
      </w:r>
      <w:r w:rsidRPr="001465E2">
        <w:rPr>
          <w:rFonts w:ascii="Arial" w:hAnsi="Arial" w:cs="Arial"/>
          <w:sz w:val="22"/>
          <w:szCs w:val="22"/>
        </w:rPr>
        <w:t>the combining and individual fund financial statements, budgetary schedules, other schedules</w:t>
      </w:r>
      <w:r w:rsidRPr="00FF5B3C">
        <w:rPr>
          <w:rFonts w:ascii="Arial" w:hAnsi="Arial" w:cs="Arial"/>
          <w:sz w:val="22"/>
          <w:szCs w:val="22"/>
        </w:rPr>
        <w:t>, component unit schedules and the Schedule of Expenditures of Federal and State Awards are fai</w:t>
      </w:r>
      <w:r w:rsidRPr="001465E2">
        <w:rPr>
          <w:rFonts w:ascii="Arial" w:hAnsi="Arial" w:cs="Arial"/>
          <w:sz w:val="22"/>
          <w:szCs w:val="22"/>
        </w:rPr>
        <w:t>rly stated, in all material respects, in relation to the basic financial statements as a whole.</w:t>
      </w:r>
    </w:p>
    <w:bookmarkEnd w:id="13"/>
    <w:p w14:paraId="0E61A47D" w14:textId="77777777" w:rsidR="003240D2" w:rsidRPr="006917F4" w:rsidRDefault="003240D2" w:rsidP="003240D2">
      <w:pPr>
        <w:jc w:val="both"/>
        <w:rPr>
          <w:rFonts w:ascii="Arial" w:hAnsi="Arial" w:cs="Arial"/>
          <w:sz w:val="22"/>
          <w:szCs w:val="22"/>
        </w:rPr>
      </w:pPr>
    </w:p>
    <w:p w14:paraId="52F00F19" w14:textId="77777777" w:rsidR="003240D2" w:rsidRPr="00146C4E" w:rsidRDefault="003240D2" w:rsidP="003240D2">
      <w:pPr>
        <w:jc w:val="both"/>
        <w:rPr>
          <w:rFonts w:ascii="Arial" w:hAnsi="Arial" w:cs="Arial"/>
          <w:sz w:val="22"/>
          <w:szCs w:val="22"/>
        </w:rPr>
      </w:pPr>
      <w:bookmarkStart w:id="15" w:name="_Hlk106882625"/>
      <w:r w:rsidRPr="00146C4E">
        <w:rPr>
          <w:rFonts w:ascii="Arial" w:hAnsi="Arial" w:cs="Arial"/>
          <w:b/>
          <w:sz w:val="22"/>
          <w:szCs w:val="22"/>
        </w:rPr>
        <w:t xml:space="preserve">Other Reporting Required by </w:t>
      </w:r>
      <w:r w:rsidRPr="00146C4E">
        <w:rPr>
          <w:rFonts w:ascii="Arial" w:hAnsi="Arial" w:cs="Arial"/>
          <w:b/>
          <w:i/>
          <w:sz w:val="22"/>
          <w:szCs w:val="22"/>
        </w:rPr>
        <w:t>Government Auditing Standards</w:t>
      </w:r>
    </w:p>
    <w:p w14:paraId="5E801B0E" w14:textId="77777777" w:rsidR="003240D2" w:rsidRPr="00146C4E" w:rsidRDefault="003240D2" w:rsidP="003240D2">
      <w:pPr>
        <w:spacing w:before="120"/>
        <w:jc w:val="both"/>
        <w:rPr>
          <w:rFonts w:ascii="Arial" w:hAnsi="Arial" w:cs="Arial"/>
          <w:sz w:val="22"/>
          <w:szCs w:val="22"/>
        </w:rPr>
      </w:pPr>
      <w:r w:rsidRPr="00146C4E">
        <w:rPr>
          <w:rFonts w:ascii="Arial" w:hAnsi="Arial" w:cs="Arial"/>
          <w:sz w:val="22"/>
          <w:szCs w:val="22"/>
        </w:rPr>
        <w:t xml:space="preserve">In accordance with </w:t>
      </w:r>
      <w:r w:rsidRPr="00146C4E">
        <w:rPr>
          <w:rFonts w:ascii="Arial" w:hAnsi="Arial" w:cs="Arial"/>
          <w:i/>
          <w:sz w:val="22"/>
          <w:szCs w:val="22"/>
        </w:rPr>
        <w:t>Government Auditing Standards</w:t>
      </w:r>
      <w:r w:rsidRPr="00146C4E">
        <w:rPr>
          <w:rFonts w:ascii="Arial" w:hAnsi="Arial" w:cs="Arial"/>
          <w:sz w:val="22"/>
          <w:szCs w:val="22"/>
        </w:rPr>
        <w:t xml:space="preserve">, we have also issued our report dated [date of report] on our consideration of Carolina County’s internal control over financial reporting and on our tests of its compliance with certain provisions of laws, regulations, contracts, and grant agreements and other matters.  The purpose of that report is to describe the scope of our testing of internal control over financial reporting and compliance and the results of that testing, and not to provide an opinion on internal control over financial reporting or on compliance.  That report is an integral part of an audit performed in accordance with </w:t>
      </w:r>
      <w:r w:rsidRPr="00146C4E">
        <w:rPr>
          <w:rFonts w:ascii="Arial" w:hAnsi="Arial" w:cs="Arial"/>
          <w:i/>
          <w:sz w:val="22"/>
          <w:szCs w:val="22"/>
        </w:rPr>
        <w:t>Government Auditing Standards</w:t>
      </w:r>
      <w:r w:rsidRPr="00146C4E">
        <w:rPr>
          <w:rFonts w:ascii="Arial" w:hAnsi="Arial" w:cs="Arial"/>
          <w:sz w:val="22"/>
          <w:szCs w:val="22"/>
        </w:rPr>
        <w:t xml:space="preserve"> in considering Carolina County’s internal control over financial reporting and compliance.</w:t>
      </w:r>
    </w:p>
    <w:bookmarkEnd w:id="15"/>
    <w:p w14:paraId="739AD448" w14:textId="77777777" w:rsidR="003240D2" w:rsidRPr="00146C4E" w:rsidRDefault="003240D2" w:rsidP="003240D2">
      <w:pPr>
        <w:jc w:val="both"/>
        <w:rPr>
          <w:rFonts w:ascii="Arial" w:hAnsi="Arial" w:cs="Arial"/>
          <w:i/>
          <w:sz w:val="22"/>
          <w:szCs w:val="22"/>
        </w:rPr>
      </w:pPr>
    </w:p>
    <w:p w14:paraId="15CEB316" w14:textId="77777777" w:rsidR="003240D2" w:rsidRPr="006917F4" w:rsidRDefault="003240D2" w:rsidP="003240D2">
      <w:pPr>
        <w:rPr>
          <w:rFonts w:ascii="Arial" w:hAnsi="Arial" w:cs="Arial"/>
          <w:i/>
          <w:sz w:val="22"/>
          <w:szCs w:val="22"/>
        </w:rPr>
      </w:pPr>
      <w:r w:rsidRPr="006917F4">
        <w:rPr>
          <w:rFonts w:ascii="Arial" w:hAnsi="Arial" w:cs="Arial"/>
          <w:i/>
          <w:sz w:val="22"/>
          <w:szCs w:val="22"/>
        </w:rPr>
        <w:t>[Signature]</w:t>
      </w:r>
    </w:p>
    <w:p w14:paraId="35B9203F" w14:textId="77777777" w:rsidR="003240D2" w:rsidRPr="006917F4" w:rsidRDefault="003240D2" w:rsidP="003240D2">
      <w:pPr>
        <w:rPr>
          <w:rFonts w:ascii="Arial" w:hAnsi="Arial" w:cs="Arial"/>
          <w:i/>
          <w:sz w:val="22"/>
          <w:szCs w:val="22"/>
        </w:rPr>
      </w:pPr>
      <w:r w:rsidRPr="006917F4">
        <w:rPr>
          <w:rFonts w:ascii="Arial" w:hAnsi="Arial" w:cs="Arial"/>
          <w:i/>
          <w:sz w:val="22"/>
          <w:szCs w:val="22"/>
        </w:rPr>
        <w:t>[City and State]</w:t>
      </w:r>
    </w:p>
    <w:p w14:paraId="1A16CEC8" w14:textId="77777777" w:rsidR="003240D2" w:rsidRDefault="003240D2" w:rsidP="003240D2">
      <w:pPr>
        <w:jc w:val="both"/>
        <w:rPr>
          <w:rFonts w:ascii="Arial" w:hAnsi="Arial" w:cs="Arial"/>
          <w:i/>
          <w:sz w:val="22"/>
          <w:szCs w:val="22"/>
        </w:rPr>
      </w:pPr>
      <w:r w:rsidRPr="006917F4">
        <w:rPr>
          <w:rFonts w:ascii="Arial" w:hAnsi="Arial" w:cs="Arial"/>
          <w:i/>
          <w:sz w:val="22"/>
          <w:szCs w:val="22"/>
        </w:rPr>
        <w:t>[Date]</w:t>
      </w:r>
      <w:bookmarkEnd w:id="11"/>
    </w:p>
    <w:p w14:paraId="7807837A" w14:textId="77777777" w:rsidR="003240D2" w:rsidRDefault="003240D2" w:rsidP="003240D2">
      <w:pPr>
        <w:jc w:val="both"/>
        <w:rPr>
          <w:rFonts w:ascii="Arial" w:hAnsi="Arial" w:cs="Arial"/>
          <w:i/>
          <w:sz w:val="22"/>
          <w:szCs w:val="22"/>
        </w:rPr>
      </w:pPr>
    </w:p>
    <w:p w14:paraId="6620084C" w14:textId="77777777" w:rsidR="003240D2" w:rsidRPr="00ED7F43" w:rsidRDefault="003240D2" w:rsidP="00146C4E">
      <w:pPr>
        <w:jc w:val="both"/>
        <w:rPr>
          <w:rFonts w:ascii="Arial" w:hAnsi="Arial" w:cs="Arial"/>
          <w:bCs/>
          <w:iCs/>
          <w:sz w:val="22"/>
          <w:szCs w:val="22"/>
        </w:rPr>
      </w:pPr>
    </w:p>
    <w:sectPr w:rsidR="003240D2" w:rsidRPr="00ED7F43" w:rsidSect="00146C4E">
      <w:headerReference w:type="even" r:id="rId10"/>
      <w:headerReference w:type="default" r:id="rId11"/>
      <w:footerReference w:type="even" r:id="rId12"/>
      <w:footerReference w:type="default" r:id="rId13"/>
      <w:headerReference w:type="first" r:id="rId14"/>
      <w:footerReference w:type="first" r:id="rId15"/>
      <w:endnotePr>
        <w:numFmt w:val="decimal"/>
        <w:numRestart w:val="eachSect"/>
      </w:endnotePr>
      <w:type w:val="continuous"/>
      <w:pgSz w:w="12240" w:h="15840" w:code="1"/>
      <w:pgMar w:top="1440" w:right="1080" w:bottom="1440" w:left="1080" w:header="432"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FA1FF" w14:textId="77777777" w:rsidR="00D70533" w:rsidRDefault="00D70533">
      <w:r>
        <w:separator/>
      </w:r>
    </w:p>
  </w:endnote>
  <w:endnote w:type="continuationSeparator" w:id="0">
    <w:p w14:paraId="4E202FB4" w14:textId="77777777" w:rsidR="00D70533" w:rsidRDefault="00D70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C92D4" w14:textId="77777777" w:rsidR="001300E5" w:rsidRDefault="001300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0766A" w14:textId="223F1381" w:rsidR="00373E06" w:rsidRPr="001B0D82" w:rsidRDefault="00373E06" w:rsidP="00373E06">
    <w:pPr>
      <w:pStyle w:val="Footer"/>
      <w:tabs>
        <w:tab w:val="clear" w:pos="4320"/>
        <w:tab w:val="center" w:pos="4680"/>
      </w:tabs>
      <w:rPr>
        <w:rFonts w:ascii="Arial" w:hAnsi="Arial" w:cs="Arial"/>
        <w:color w:val="0000FF"/>
        <w:sz w:val="22"/>
      </w:rPr>
    </w:pPr>
    <w:r w:rsidRPr="001B0D82">
      <w:rPr>
        <w:rFonts w:ascii="Arial" w:hAnsi="Arial" w:cs="Arial"/>
        <w:color w:val="0000FF"/>
        <w:sz w:val="22"/>
      </w:rPr>
      <w:tab/>
    </w:r>
    <w:r w:rsidR="00007EE6">
      <w:rPr>
        <w:rStyle w:val="PageNumber"/>
        <w:rFonts w:ascii="Arial" w:hAnsi="Arial" w:cs="Arial"/>
        <w:color w:val="0000FF"/>
        <w:sz w:val="22"/>
        <w:szCs w:val="22"/>
      </w:rPr>
      <w:tab/>
    </w:r>
    <w:r w:rsidR="00007EE6">
      <w:rPr>
        <w:rStyle w:val="PageNumber"/>
        <w:rFonts w:ascii="Arial" w:hAnsi="Arial" w:cs="Arial"/>
        <w:color w:val="0000FF"/>
        <w:sz w:val="22"/>
        <w:szCs w:val="22"/>
      </w:rPr>
      <w:tab/>
    </w:r>
  </w:p>
  <w:p w14:paraId="34FB91CE" w14:textId="77777777" w:rsidR="00373E06" w:rsidRPr="001B0D82" w:rsidRDefault="00373E06">
    <w:pPr>
      <w:pStyle w:val="Footer"/>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73870" w14:textId="7E9ABA4C" w:rsidR="00E10F4A" w:rsidRPr="0095535A" w:rsidRDefault="00E10F4A" w:rsidP="00B27E72">
    <w:pPr>
      <w:pStyle w:val="Footer"/>
      <w:tabs>
        <w:tab w:val="clear" w:pos="4320"/>
        <w:tab w:val="center" w:pos="4680"/>
      </w:tabs>
      <w:rPr>
        <w:rFonts w:ascii="Arial" w:hAnsi="Arial" w:cs="Arial"/>
        <w:sz w:val="22"/>
      </w:rPr>
    </w:pPr>
    <w:r w:rsidRPr="0095535A">
      <w:rPr>
        <w:rFonts w:ascii="Arial" w:hAnsi="Arial" w:cs="Arial"/>
        <w:sz w:val="2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7402E" w14:textId="77777777" w:rsidR="00D70533" w:rsidRDefault="00D70533">
      <w:r>
        <w:separator/>
      </w:r>
    </w:p>
  </w:footnote>
  <w:footnote w:type="continuationSeparator" w:id="0">
    <w:p w14:paraId="38ED89B5" w14:textId="77777777" w:rsidR="00D70533" w:rsidRDefault="00D705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0C62B" w14:textId="77777777" w:rsidR="001300E5" w:rsidRDefault="001300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0568A" w14:textId="77777777" w:rsidR="001300E5" w:rsidRDefault="001300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543B6" w14:textId="77777777" w:rsidR="001300E5" w:rsidRDefault="001300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FE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82508A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23E24B8A"/>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2E7D2AB4"/>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4" w15:restartNumberingAfterBreak="0">
    <w:nsid w:val="3C5A013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3D91E1D"/>
    <w:multiLevelType w:val="singleLevel"/>
    <w:tmpl w:val="D9CCF91C"/>
    <w:lvl w:ilvl="0">
      <w:start w:val="2"/>
      <w:numFmt w:val="upperLetter"/>
      <w:lvlText w:val="%1."/>
      <w:lvlJc w:val="left"/>
      <w:pPr>
        <w:tabs>
          <w:tab w:val="num" w:pos="1443"/>
        </w:tabs>
        <w:ind w:left="1443" w:hanging="435"/>
      </w:pPr>
      <w:rPr>
        <w:rFonts w:hint="default"/>
        <w:u w:val="none"/>
      </w:rPr>
    </w:lvl>
  </w:abstractNum>
  <w:abstractNum w:abstractNumId="6" w15:restartNumberingAfterBreak="0">
    <w:nsid w:val="627E4FFA"/>
    <w:multiLevelType w:val="hybridMultilevel"/>
    <w:tmpl w:val="DB1E9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0F3A0A"/>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445735171">
    <w:abstractNumId w:val="5"/>
  </w:num>
  <w:num w:numId="2" w16cid:durableId="1370688293">
    <w:abstractNumId w:val="3"/>
  </w:num>
  <w:num w:numId="3" w16cid:durableId="1562404835">
    <w:abstractNumId w:val="1"/>
  </w:num>
  <w:num w:numId="4" w16cid:durableId="105470505">
    <w:abstractNumId w:val="2"/>
  </w:num>
  <w:num w:numId="5" w16cid:durableId="1212766875">
    <w:abstractNumId w:val="0"/>
  </w:num>
  <w:num w:numId="6" w16cid:durableId="2025746529">
    <w:abstractNumId w:val="4"/>
  </w:num>
  <w:num w:numId="7" w16cid:durableId="1079450582">
    <w:abstractNumId w:val="7"/>
  </w:num>
  <w:num w:numId="8" w16cid:durableId="61441257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pos w:val="sectEnd"/>
    <w:numFmt w:val="decimal"/>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206"/>
    <w:rsid w:val="00007EE6"/>
    <w:rsid w:val="00014129"/>
    <w:rsid w:val="00022BAA"/>
    <w:rsid w:val="00031880"/>
    <w:rsid w:val="00046688"/>
    <w:rsid w:val="00060A70"/>
    <w:rsid w:val="00093FD5"/>
    <w:rsid w:val="00094DBB"/>
    <w:rsid w:val="000A4A6D"/>
    <w:rsid w:val="000C19E8"/>
    <w:rsid w:val="000D0D3A"/>
    <w:rsid w:val="000E1D34"/>
    <w:rsid w:val="000E35FE"/>
    <w:rsid w:val="000F6D37"/>
    <w:rsid w:val="00107799"/>
    <w:rsid w:val="00111BB4"/>
    <w:rsid w:val="00117E7C"/>
    <w:rsid w:val="00123E4A"/>
    <w:rsid w:val="001300E5"/>
    <w:rsid w:val="00137D76"/>
    <w:rsid w:val="00141DCF"/>
    <w:rsid w:val="00146C4E"/>
    <w:rsid w:val="00151B3A"/>
    <w:rsid w:val="00155E0B"/>
    <w:rsid w:val="00156530"/>
    <w:rsid w:val="0016167C"/>
    <w:rsid w:val="00166919"/>
    <w:rsid w:val="001707D6"/>
    <w:rsid w:val="00176621"/>
    <w:rsid w:val="00191E54"/>
    <w:rsid w:val="0019564D"/>
    <w:rsid w:val="001A04EC"/>
    <w:rsid w:val="001B0D82"/>
    <w:rsid w:val="001C5FB2"/>
    <w:rsid w:val="001C6DAA"/>
    <w:rsid w:val="001E0F45"/>
    <w:rsid w:val="001F40F1"/>
    <w:rsid w:val="002017B0"/>
    <w:rsid w:val="002051DE"/>
    <w:rsid w:val="0022162D"/>
    <w:rsid w:val="00225FD2"/>
    <w:rsid w:val="002376FE"/>
    <w:rsid w:val="00240AEE"/>
    <w:rsid w:val="00251414"/>
    <w:rsid w:val="002628F1"/>
    <w:rsid w:val="0026365D"/>
    <w:rsid w:val="0027297A"/>
    <w:rsid w:val="00276D46"/>
    <w:rsid w:val="00285240"/>
    <w:rsid w:val="002A63FF"/>
    <w:rsid w:val="002C4D61"/>
    <w:rsid w:val="002E0066"/>
    <w:rsid w:val="002E6A78"/>
    <w:rsid w:val="002F67E7"/>
    <w:rsid w:val="002F75FF"/>
    <w:rsid w:val="003240D2"/>
    <w:rsid w:val="00330591"/>
    <w:rsid w:val="00333884"/>
    <w:rsid w:val="0033710A"/>
    <w:rsid w:val="003412D7"/>
    <w:rsid w:val="00345E12"/>
    <w:rsid w:val="00350400"/>
    <w:rsid w:val="00353EB6"/>
    <w:rsid w:val="00372946"/>
    <w:rsid w:val="00373E06"/>
    <w:rsid w:val="003829FD"/>
    <w:rsid w:val="003A08E0"/>
    <w:rsid w:val="003A32BD"/>
    <w:rsid w:val="003B41CA"/>
    <w:rsid w:val="003E7EE8"/>
    <w:rsid w:val="003F0F8F"/>
    <w:rsid w:val="00422BE4"/>
    <w:rsid w:val="004267E7"/>
    <w:rsid w:val="004525E9"/>
    <w:rsid w:val="0047308C"/>
    <w:rsid w:val="004A5C5F"/>
    <w:rsid w:val="004B549F"/>
    <w:rsid w:val="004C2C10"/>
    <w:rsid w:val="004D03C5"/>
    <w:rsid w:val="004E12AC"/>
    <w:rsid w:val="004E2A06"/>
    <w:rsid w:val="004F41BC"/>
    <w:rsid w:val="005016D9"/>
    <w:rsid w:val="005147EF"/>
    <w:rsid w:val="00516592"/>
    <w:rsid w:val="005209D4"/>
    <w:rsid w:val="005225E7"/>
    <w:rsid w:val="00522FF7"/>
    <w:rsid w:val="005231C3"/>
    <w:rsid w:val="005375DD"/>
    <w:rsid w:val="005414E9"/>
    <w:rsid w:val="00543F88"/>
    <w:rsid w:val="005610D2"/>
    <w:rsid w:val="00594FFB"/>
    <w:rsid w:val="00597DAE"/>
    <w:rsid w:val="005A29D5"/>
    <w:rsid w:val="005B171B"/>
    <w:rsid w:val="005B76A4"/>
    <w:rsid w:val="005C5CA2"/>
    <w:rsid w:val="005D1DBC"/>
    <w:rsid w:val="005D5908"/>
    <w:rsid w:val="005E2DC9"/>
    <w:rsid w:val="005E631E"/>
    <w:rsid w:val="005E6C07"/>
    <w:rsid w:val="006124FA"/>
    <w:rsid w:val="00623B6E"/>
    <w:rsid w:val="00624C7C"/>
    <w:rsid w:val="0062510E"/>
    <w:rsid w:val="006311E0"/>
    <w:rsid w:val="00632062"/>
    <w:rsid w:val="0066011F"/>
    <w:rsid w:val="006601E0"/>
    <w:rsid w:val="00664708"/>
    <w:rsid w:val="006917F4"/>
    <w:rsid w:val="00697E32"/>
    <w:rsid w:val="006A44DB"/>
    <w:rsid w:val="006B2C64"/>
    <w:rsid w:val="006B3D2C"/>
    <w:rsid w:val="006B4B33"/>
    <w:rsid w:val="006D7AF8"/>
    <w:rsid w:val="006F2B51"/>
    <w:rsid w:val="0073264E"/>
    <w:rsid w:val="00772EED"/>
    <w:rsid w:val="0077687F"/>
    <w:rsid w:val="0078646C"/>
    <w:rsid w:val="007B55C8"/>
    <w:rsid w:val="007C6B36"/>
    <w:rsid w:val="008017D3"/>
    <w:rsid w:val="008030E5"/>
    <w:rsid w:val="00805C62"/>
    <w:rsid w:val="0081046F"/>
    <w:rsid w:val="00811611"/>
    <w:rsid w:val="008172B9"/>
    <w:rsid w:val="00830430"/>
    <w:rsid w:val="008320EE"/>
    <w:rsid w:val="00843C5C"/>
    <w:rsid w:val="008841C6"/>
    <w:rsid w:val="00891EAE"/>
    <w:rsid w:val="008B3DBE"/>
    <w:rsid w:val="008D6546"/>
    <w:rsid w:val="008F3EFE"/>
    <w:rsid w:val="008F5868"/>
    <w:rsid w:val="008F6D80"/>
    <w:rsid w:val="009049EC"/>
    <w:rsid w:val="009221D8"/>
    <w:rsid w:val="00930661"/>
    <w:rsid w:val="00954E90"/>
    <w:rsid w:val="0095535A"/>
    <w:rsid w:val="00955EA0"/>
    <w:rsid w:val="009611A1"/>
    <w:rsid w:val="00961C43"/>
    <w:rsid w:val="009743DB"/>
    <w:rsid w:val="00974CF2"/>
    <w:rsid w:val="0098440E"/>
    <w:rsid w:val="009A2AA8"/>
    <w:rsid w:val="009D6954"/>
    <w:rsid w:val="009E0344"/>
    <w:rsid w:val="009E06E9"/>
    <w:rsid w:val="009E4322"/>
    <w:rsid w:val="009E732A"/>
    <w:rsid w:val="009F7F0C"/>
    <w:rsid w:val="00A14BA5"/>
    <w:rsid w:val="00A3294E"/>
    <w:rsid w:val="00A33961"/>
    <w:rsid w:val="00A42011"/>
    <w:rsid w:val="00A47D7C"/>
    <w:rsid w:val="00A5064A"/>
    <w:rsid w:val="00A50F43"/>
    <w:rsid w:val="00A56C7F"/>
    <w:rsid w:val="00A57148"/>
    <w:rsid w:val="00A94538"/>
    <w:rsid w:val="00A965B4"/>
    <w:rsid w:val="00AB2AD9"/>
    <w:rsid w:val="00AC22B3"/>
    <w:rsid w:val="00AC3748"/>
    <w:rsid w:val="00AC37CF"/>
    <w:rsid w:val="00AE6AE1"/>
    <w:rsid w:val="00AF6170"/>
    <w:rsid w:val="00B121C6"/>
    <w:rsid w:val="00B21290"/>
    <w:rsid w:val="00B27E72"/>
    <w:rsid w:val="00B45FF2"/>
    <w:rsid w:val="00B47E4E"/>
    <w:rsid w:val="00BB3538"/>
    <w:rsid w:val="00BB65DF"/>
    <w:rsid w:val="00BD55AB"/>
    <w:rsid w:val="00BD738E"/>
    <w:rsid w:val="00BE1DE9"/>
    <w:rsid w:val="00BF44A7"/>
    <w:rsid w:val="00C02903"/>
    <w:rsid w:val="00C05399"/>
    <w:rsid w:val="00C11FCF"/>
    <w:rsid w:val="00C44587"/>
    <w:rsid w:val="00C44C7F"/>
    <w:rsid w:val="00C75714"/>
    <w:rsid w:val="00C926C3"/>
    <w:rsid w:val="00C938EE"/>
    <w:rsid w:val="00CA5C41"/>
    <w:rsid w:val="00CC3B9A"/>
    <w:rsid w:val="00CC6219"/>
    <w:rsid w:val="00CD0F07"/>
    <w:rsid w:val="00CE4839"/>
    <w:rsid w:val="00D03F62"/>
    <w:rsid w:val="00D049B1"/>
    <w:rsid w:val="00D06E20"/>
    <w:rsid w:val="00D078AB"/>
    <w:rsid w:val="00D14810"/>
    <w:rsid w:val="00D57C26"/>
    <w:rsid w:val="00D63BCA"/>
    <w:rsid w:val="00D67D00"/>
    <w:rsid w:val="00D70533"/>
    <w:rsid w:val="00D705B3"/>
    <w:rsid w:val="00D72496"/>
    <w:rsid w:val="00D86207"/>
    <w:rsid w:val="00DA3854"/>
    <w:rsid w:val="00DA535A"/>
    <w:rsid w:val="00DB3334"/>
    <w:rsid w:val="00DC09B1"/>
    <w:rsid w:val="00DC6FEC"/>
    <w:rsid w:val="00DD0E08"/>
    <w:rsid w:val="00E0548D"/>
    <w:rsid w:val="00E10F4A"/>
    <w:rsid w:val="00E1365A"/>
    <w:rsid w:val="00E15BE7"/>
    <w:rsid w:val="00E3761D"/>
    <w:rsid w:val="00E52397"/>
    <w:rsid w:val="00E56BDA"/>
    <w:rsid w:val="00E56E2D"/>
    <w:rsid w:val="00E86713"/>
    <w:rsid w:val="00E87E22"/>
    <w:rsid w:val="00E90B42"/>
    <w:rsid w:val="00EC07CA"/>
    <w:rsid w:val="00ED4906"/>
    <w:rsid w:val="00ED7F43"/>
    <w:rsid w:val="00EE18AF"/>
    <w:rsid w:val="00EE59FB"/>
    <w:rsid w:val="00F07DD3"/>
    <w:rsid w:val="00F2240B"/>
    <w:rsid w:val="00F23E97"/>
    <w:rsid w:val="00F247AB"/>
    <w:rsid w:val="00F33AE8"/>
    <w:rsid w:val="00F479A6"/>
    <w:rsid w:val="00F61E5A"/>
    <w:rsid w:val="00F71671"/>
    <w:rsid w:val="00F7315C"/>
    <w:rsid w:val="00F77DBE"/>
    <w:rsid w:val="00F82206"/>
    <w:rsid w:val="00F85F8C"/>
    <w:rsid w:val="00F96B58"/>
    <w:rsid w:val="00FA4A52"/>
    <w:rsid w:val="00FA4F34"/>
    <w:rsid w:val="00FB2F64"/>
    <w:rsid w:val="00FC49DC"/>
    <w:rsid w:val="00FD30C4"/>
    <w:rsid w:val="00FD5695"/>
    <w:rsid w:val="00FF5B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06543"/>
  <w15:docId w15:val="{C2076083-0C20-4624-937E-C9C7D19BA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tabs>
        <w:tab w:val="left" w:pos="1170"/>
        <w:tab w:val="left" w:pos="1620"/>
        <w:tab w:val="left" w:pos="2880"/>
        <w:tab w:val="left" w:pos="3600"/>
        <w:tab w:val="left" w:pos="4320"/>
        <w:tab w:val="left" w:pos="5040"/>
        <w:tab w:val="left" w:pos="5760"/>
        <w:tab w:val="left" w:pos="6480"/>
        <w:tab w:val="right" w:pos="9360"/>
      </w:tabs>
      <w:spacing w:line="240" w:lineRule="exact"/>
      <w:ind w:left="720"/>
      <w:jc w:val="both"/>
      <w:outlineLvl w:val="0"/>
    </w:pPr>
    <w:rPr>
      <w:rFonts w:ascii="Courier" w:hAnsi="Courier"/>
      <w:sz w:val="24"/>
    </w:rPr>
  </w:style>
  <w:style w:type="paragraph" w:styleId="Heading2">
    <w:name w:val="heading 2"/>
    <w:basedOn w:val="Normal"/>
    <w:next w:val="Normal"/>
    <w:qFormat/>
    <w:pPr>
      <w:keepNext/>
      <w:tabs>
        <w:tab w:val="left" w:pos="1440"/>
        <w:tab w:val="left" w:pos="2160"/>
        <w:tab w:val="left" w:pos="2880"/>
        <w:tab w:val="left" w:pos="3600"/>
        <w:tab w:val="left" w:pos="4320"/>
        <w:tab w:val="left" w:pos="5040"/>
        <w:tab w:val="left" w:pos="5760"/>
        <w:tab w:val="left" w:pos="6480"/>
        <w:tab w:val="left" w:pos="7200"/>
        <w:tab w:val="right" w:pos="8640"/>
      </w:tabs>
      <w:spacing w:line="240" w:lineRule="exact"/>
      <w:ind w:left="720"/>
      <w:outlineLvl w:val="1"/>
    </w:pPr>
    <w:rPr>
      <w:rFonts w:ascii="Courier" w:hAnsi="Courier"/>
      <w:sz w:val="24"/>
    </w:rPr>
  </w:style>
  <w:style w:type="paragraph" w:styleId="Heading3">
    <w:name w:val="heading 3"/>
    <w:basedOn w:val="Normal"/>
    <w:next w:val="Normal"/>
    <w:qFormat/>
    <w:pPr>
      <w:keepNext/>
      <w:ind w:left="720"/>
      <w:jc w:val="both"/>
      <w:outlineLvl w:val="2"/>
    </w:pPr>
    <w:rPr>
      <w:rFonts w:ascii="Courier New" w:hAnsi="Courier New"/>
      <w:sz w:val="24"/>
      <w:u w:val="single"/>
    </w:rPr>
  </w:style>
  <w:style w:type="paragraph" w:styleId="Heading4">
    <w:name w:val="heading 4"/>
    <w:basedOn w:val="Normal"/>
    <w:next w:val="Normal"/>
    <w:qFormat/>
    <w:pPr>
      <w:keepNext/>
      <w:tabs>
        <w:tab w:val="left" w:pos="5040"/>
        <w:tab w:val="left" w:pos="6480"/>
        <w:tab w:val="left" w:pos="7920"/>
        <w:tab w:val="left" w:pos="9360"/>
      </w:tabs>
      <w:spacing w:line="200" w:lineRule="exact"/>
      <w:ind w:left="720" w:hanging="720"/>
      <w:outlineLvl w:val="3"/>
    </w:pPr>
    <w:rPr>
      <w:rFonts w:ascii="Courier" w:hAnsi="Courier"/>
      <w:sz w:val="24"/>
    </w:rPr>
  </w:style>
  <w:style w:type="paragraph" w:styleId="Heading5">
    <w:name w:val="heading 5"/>
    <w:basedOn w:val="Normal"/>
    <w:next w:val="Normal"/>
    <w:qFormat/>
    <w:pPr>
      <w:keepNext/>
      <w:ind w:left="720" w:hanging="720"/>
      <w:jc w:val="both"/>
      <w:outlineLvl w:val="4"/>
    </w:pPr>
    <w:rPr>
      <w:rFonts w:ascii="Courier" w:hAnsi="Courier"/>
      <w:sz w:val="24"/>
    </w:rPr>
  </w:style>
  <w:style w:type="paragraph" w:styleId="Heading6">
    <w:name w:val="heading 6"/>
    <w:basedOn w:val="Normal"/>
    <w:next w:val="Normal"/>
    <w:qFormat/>
    <w:pPr>
      <w:keepNext/>
      <w:ind w:left="3600" w:hanging="3600"/>
      <w:outlineLvl w:val="5"/>
    </w:pPr>
    <w:rPr>
      <w:rFonts w:ascii="Courier" w:hAnsi="Courier"/>
      <w:sz w:val="24"/>
    </w:rPr>
  </w:style>
  <w:style w:type="paragraph" w:styleId="Heading7">
    <w:name w:val="heading 7"/>
    <w:basedOn w:val="Normal"/>
    <w:next w:val="Normal"/>
    <w:qFormat/>
    <w:pPr>
      <w:keepNext/>
      <w:outlineLvl w:val="6"/>
    </w:pPr>
    <w:rPr>
      <w:rFonts w:ascii="Courier" w:hAnsi="Courier"/>
      <w:sz w:val="24"/>
    </w:rPr>
  </w:style>
  <w:style w:type="paragraph" w:styleId="Heading8">
    <w:name w:val="heading 8"/>
    <w:basedOn w:val="Normal"/>
    <w:next w:val="Normal"/>
    <w:qFormat/>
    <w:pPr>
      <w:keepNext/>
      <w:ind w:left="2160" w:firstLine="720"/>
      <w:outlineLvl w:val="7"/>
    </w:pPr>
    <w:rPr>
      <w:rFonts w:ascii="Courier" w:hAnsi="Courier"/>
      <w:sz w:val="24"/>
    </w:rPr>
  </w:style>
  <w:style w:type="paragraph" w:styleId="Heading9">
    <w:name w:val="heading 9"/>
    <w:basedOn w:val="Normal"/>
    <w:next w:val="Normal"/>
    <w:qFormat/>
    <w:pPr>
      <w:keepNext/>
      <w:jc w:val="center"/>
      <w:outlineLvl w:val="8"/>
    </w:pPr>
    <w:rPr>
      <w:rFonts w:ascii="Courier" w:hAnsi="Courier"/>
      <w:color w:val="00000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rPr>
      <w:rFonts w:ascii="Courier" w:hAnsi="Courier"/>
    </w:rPr>
  </w:style>
  <w:style w:type="paragraph" w:styleId="BodyTextIndent">
    <w:name w:val="Body Text Indent"/>
    <w:basedOn w:val="Normal"/>
    <w:pPr>
      <w:spacing w:line="240" w:lineRule="exact"/>
      <w:ind w:left="720"/>
      <w:jc w:val="both"/>
    </w:pPr>
    <w:rPr>
      <w:rFonts w:ascii="Courier" w:hAnsi="Courier"/>
      <w:sz w:val="24"/>
    </w:rPr>
  </w:style>
  <w:style w:type="paragraph" w:styleId="BodyTextIndent2">
    <w:name w:val="Body Text Indent 2"/>
    <w:basedOn w:val="Normal"/>
    <w:pPr>
      <w:spacing w:line="240" w:lineRule="exact"/>
      <w:ind w:left="720"/>
      <w:jc w:val="both"/>
    </w:pPr>
    <w:rPr>
      <w:rFonts w:ascii="Courier" w:hAnsi="Courier"/>
      <w:sz w:val="22"/>
    </w:rPr>
  </w:style>
  <w:style w:type="paragraph" w:styleId="BodyText">
    <w:name w:val="Body Text"/>
    <w:basedOn w:val="Normal"/>
    <w:pPr>
      <w:spacing w:line="200" w:lineRule="exact"/>
    </w:pPr>
    <w:rPr>
      <w:rFonts w:ascii="Courier" w:hAnsi="Courier"/>
      <w:sz w:val="22"/>
    </w:rPr>
  </w:style>
  <w:style w:type="paragraph" w:styleId="BodyText2">
    <w:name w:val="Body Text 2"/>
    <w:basedOn w:val="Normal"/>
    <w:pPr>
      <w:keepLines/>
      <w:pBdr>
        <w:top w:val="double" w:sz="6" w:space="0" w:color="000000"/>
        <w:left w:val="double" w:sz="6" w:space="0" w:color="000000"/>
        <w:bottom w:val="double" w:sz="6" w:space="0" w:color="000000"/>
        <w:right w:val="double" w:sz="6" w:space="0" w:color="000000"/>
        <w:between w:val="double" w:sz="6" w:space="0" w:color="000000"/>
      </w:pBdr>
      <w:spacing w:line="240" w:lineRule="exact"/>
      <w:jc w:val="both"/>
    </w:pPr>
    <w:rPr>
      <w:rFonts w:ascii="Courier" w:hAnsi="Courier"/>
      <w:sz w:val="24"/>
    </w:rPr>
  </w:style>
  <w:style w:type="paragraph" w:styleId="BodyTextIndent3">
    <w:name w:val="Body Text Indent 3"/>
    <w:basedOn w:val="Normal"/>
    <w:pPr>
      <w:spacing w:line="240" w:lineRule="exact"/>
      <w:ind w:left="720"/>
      <w:jc w:val="both"/>
    </w:pPr>
    <w:rPr>
      <w:rFonts w:ascii="Courier" w:hAnsi="Courier"/>
    </w:rPr>
  </w:style>
  <w:style w:type="paragraph" w:styleId="BodyText3">
    <w:name w:val="Body Text 3"/>
    <w:basedOn w:val="Normal"/>
    <w:pPr>
      <w:tabs>
        <w:tab w:val="left" w:pos="360"/>
      </w:tabs>
    </w:pPr>
    <w:rPr>
      <w:rFonts w:ascii="Courier" w:hAnsi="Courier"/>
      <w:sz w:val="24"/>
    </w:rPr>
  </w:style>
  <w:style w:type="paragraph" w:styleId="DocumentMap">
    <w:name w:val="Document Map"/>
    <w:basedOn w:val="Normal"/>
    <w:semiHidden/>
    <w:pPr>
      <w:shd w:val="clear" w:color="auto" w:fill="000080"/>
    </w:pPr>
    <w:rPr>
      <w:rFonts w:ascii="Tahoma" w:hAnsi="Tahoma"/>
    </w:rPr>
  </w:style>
  <w:style w:type="paragraph" w:styleId="BlockText">
    <w:name w:val="Block Text"/>
    <w:basedOn w:val="Normal"/>
    <w:pPr>
      <w:spacing w:line="240" w:lineRule="exact"/>
      <w:ind w:left="720" w:right="360"/>
      <w:jc w:val="both"/>
    </w:pPr>
    <w:rPr>
      <w:rFonts w:ascii="Courier" w:hAnsi="Courier"/>
      <w:sz w:val="24"/>
    </w:rPr>
  </w:style>
  <w:style w:type="paragraph" w:styleId="EndnoteText">
    <w:name w:val="endnote text"/>
    <w:basedOn w:val="Normal"/>
    <w:link w:val="EndnoteTextChar"/>
    <w:semiHidden/>
    <w:rPr>
      <w:rFonts w:ascii="Courier New" w:hAnsi="Courier New"/>
    </w:rPr>
  </w:style>
  <w:style w:type="paragraph" w:styleId="Title">
    <w:name w:val="Title"/>
    <w:basedOn w:val="Normal"/>
    <w:qFormat/>
    <w:pPr>
      <w:jc w:val="center"/>
    </w:pPr>
    <w:rPr>
      <w:rFonts w:ascii="CG Times" w:hAnsi="CG Times"/>
      <w:b/>
      <w:sz w:val="24"/>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footnoteref">
    <w:name w:val="footnote ref"/>
  </w:style>
  <w:style w:type="character" w:styleId="EndnoteReference">
    <w:name w:val="endnote reference"/>
    <w:semiHidden/>
    <w:rPr>
      <w:vertAlign w:val="superscript"/>
    </w:rPr>
  </w:style>
  <w:style w:type="paragraph" w:styleId="BalloonText">
    <w:name w:val="Balloon Text"/>
    <w:basedOn w:val="Normal"/>
    <w:semiHidden/>
    <w:rsid w:val="00B27E72"/>
    <w:rPr>
      <w:rFonts w:ascii="Tahoma" w:hAnsi="Tahoma" w:cs="Tahoma"/>
      <w:sz w:val="16"/>
      <w:szCs w:val="16"/>
    </w:rPr>
  </w:style>
  <w:style w:type="character" w:customStyle="1" w:styleId="EndnoteTextChar">
    <w:name w:val="Endnote Text Char"/>
    <w:basedOn w:val="DefaultParagraphFont"/>
    <w:link w:val="EndnoteText"/>
    <w:semiHidden/>
    <w:rsid w:val="00BB65DF"/>
    <w:rPr>
      <w:rFonts w:ascii="Courier New" w:hAnsi="Courier New"/>
    </w:rPr>
  </w:style>
  <w:style w:type="paragraph" w:styleId="ListParagraph">
    <w:name w:val="List Paragraph"/>
    <w:basedOn w:val="Normal"/>
    <w:uiPriority w:val="34"/>
    <w:qFormat/>
    <w:rsid w:val="001B0D82"/>
    <w:pPr>
      <w:ind w:left="720"/>
      <w:contextualSpacing/>
    </w:pPr>
    <w:rPr>
      <w:rFonts w:ascii="Courier New" w:hAnsi="Courier New"/>
      <w:sz w:val="24"/>
    </w:rPr>
  </w:style>
  <w:style w:type="character" w:styleId="Hyperlink">
    <w:name w:val="Hyperlink"/>
    <w:uiPriority w:val="99"/>
    <w:unhideWhenUsed/>
    <w:rsid w:val="00146C4E"/>
    <w:rPr>
      <w:color w:val="0000FF"/>
      <w:u w:val="single"/>
    </w:rPr>
  </w:style>
  <w:style w:type="table" w:styleId="TableGrid">
    <w:name w:val="Table Grid"/>
    <w:basedOn w:val="TableNormal"/>
    <w:rsid w:val="00ED7F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5209D4"/>
    <w:rPr>
      <w:sz w:val="16"/>
      <w:szCs w:val="16"/>
    </w:rPr>
  </w:style>
  <w:style w:type="paragraph" w:styleId="CommentText">
    <w:name w:val="annotation text"/>
    <w:basedOn w:val="Normal"/>
    <w:link w:val="CommentTextChar"/>
    <w:rsid w:val="005209D4"/>
  </w:style>
  <w:style w:type="character" w:customStyle="1" w:styleId="CommentTextChar">
    <w:name w:val="Comment Text Char"/>
    <w:basedOn w:val="DefaultParagraphFont"/>
    <w:link w:val="CommentText"/>
    <w:rsid w:val="005209D4"/>
  </w:style>
  <w:style w:type="paragraph" w:styleId="CommentSubject">
    <w:name w:val="annotation subject"/>
    <w:basedOn w:val="CommentText"/>
    <w:next w:val="CommentText"/>
    <w:link w:val="CommentSubjectChar"/>
    <w:semiHidden/>
    <w:unhideWhenUsed/>
    <w:rsid w:val="005209D4"/>
    <w:rPr>
      <w:b/>
      <w:bCs/>
    </w:rPr>
  </w:style>
  <w:style w:type="character" w:customStyle="1" w:styleId="CommentSubjectChar">
    <w:name w:val="Comment Subject Char"/>
    <w:basedOn w:val="CommentTextChar"/>
    <w:link w:val="CommentSubject"/>
    <w:semiHidden/>
    <w:rsid w:val="005209D4"/>
    <w:rPr>
      <w:b/>
      <w:bCs/>
    </w:rPr>
  </w:style>
  <w:style w:type="character" w:styleId="FollowedHyperlink">
    <w:name w:val="FollowedHyperlink"/>
    <w:basedOn w:val="DefaultParagraphFont"/>
    <w:rsid w:val="00FF5B3C"/>
    <w:rPr>
      <w:color w:val="954F72" w:themeColor="followedHyperlink"/>
      <w:u w:val="single"/>
    </w:rPr>
  </w:style>
  <w:style w:type="character" w:styleId="UnresolvedMention">
    <w:name w:val="Unresolved Mention"/>
    <w:basedOn w:val="DefaultParagraphFont"/>
    <w:uiPriority w:val="99"/>
    <w:semiHidden/>
    <w:unhideWhenUsed/>
    <w:rsid w:val="00843C5C"/>
    <w:rPr>
      <w:color w:val="605E5C"/>
      <w:shd w:val="clear" w:color="auto" w:fill="E1DFDD"/>
    </w:rPr>
  </w:style>
  <w:style w:type="paragraph" w:styleId="Revision">
    <w:name w:val="Revision"/>
    <w:hidden/>
    <w:uiPriority w:val="99"/>
    <w:semiHidden/>
    <w:rsid w:val="004D03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01872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treasurer.com/state-and-local-government-finance-division/local-government-commission/audit-opinion-resourc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ctreasurer.com/documents/files/slgfd/memos/operation-and-accounting-discretely-presented-component-units-including-tourism-development/download"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C95EF8-6ADE-44AC-8FF7-AD154D7108EA}">
  <ds:schemaRefs>
    <ds:schemaRef ds:uri="http://schemas.openxmlformats.org/officeDocument/2006/bibliography"/>
  </ds:schemaRefs>
</ds:datastoreItem>
</file>

<file path=docMetadata/LabelInfo.xml><?xml version="1.0" encoding="utf-8"?>
<clbl:labelList xmlns:clbl="http://schemas.microsoft.com/office/2020/mipLabelMetadata">
  <clbl:label id="{033fc54b-e5a3-4ebc-8425-8e88f827fc4f}" enabled="0" method="" siteId="{033fc54b-e5a3-4ebc-8425-8e88f827fc4f}" removed="1"/>
</clbl:labelList>
</file>

<file path=docProps/app.xml><?xml version="1.0" encoding="utf-8"?>
<Properties xmlns="http://schemas.openxmlformats.org/officeDocument/2006/extended-properties" xmlns:vt="http://schemas.openxmlformats.org/officeDocument/2006/docPropsVTypes">
  <Template>Normal</Template>
  <TotalTime>17</TotalTime>
  <Pages>4</Pages>
  <Words>2180</Words>
  <Characters>12426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Note to preparer:  The following notes to the financial statements have been prepared for illustrative purposes only.  Under GASB Statement No. 14 guidance, combining statements for major discretely presented component units may be presented in the genera</vt:lpstr>
    </vt:vector>
  </TitlesOfParts>
  <Company>NCDST</Company>
  <LinksUpToDate>false</LinksUpToDate>
  <CharactersWithSpaces>14577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 to preparer:  The following notes to the financial statements have been prepared for illustrative purposes only.  Under GASB Statement No. 14 guidance, combining statements for major discretely presented component units may be presented in the genera</dc:title>
  <dc:subject/>
  <dc:creator>NC Dept. of State Treasurer</dc:creator>
  <cp:keywords/>
  <dc:description/>
  <cp:lastModifiedBy>Becky Dzingeleski</cp:lastModifiedBy>
  <cp:revision>6</cp:revision>
  <cp:lastPrinted>2022-06-23T16:10:00Z</cp:lastPrinted>
  <dcterms:created xsi:type="dcterms:W3CDTF">2025-11-19T17:49:00Z</dcterms:created>
  <dcterms:modified xsi:type="dcterms:W3CDTF">2026-08-26T18:31:00Z</dcterms:modified>
</cp:coreProperties>
</file>